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svg" ContentType="image/svg+xml"/>
  <Override PartName="/word/media/rId24.svg" ContentType="image/svg+xml"/>
  <Override PartName="/word/media/rId59.svg" ContentType="image/svg+xml"/>
  <Override PartName="/word/media/rId69.svg" ContentType="image/svg+xml"/>
  <Override PartName="/word/media/rId63.svg" ContentType="image/svg+xml"/>
  <Override PartName="/word/media/rId85.png" ContentType="image/png"/>
  <Override PartName="/word/media/rId80.svg" ContentType="image/svg+xml"/>
  <Override PartName="/word/media/rId36.png" ContentType="image/png"/>
  <Override PartName="/word/media/rId9.png" ContentType="image/png"/>
  <Override PartName="/word/media/rId12.png" ContentType="image/png"/>
  <Override PartName="/word/media/rId30.svg" ContentType="image/svg+xml"/>
  <Override PartName="/word/media/rId52.svg" ContentType="image/svg+xml"/>
  <Override PartName="/word/media/rId43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5="urn:schemas-microsoft-com:vml" xmlns:ns6="urn:schemas-microsoft-com:office:office" xmlns:ns7="http://schemas.microsoft.com/office/drawing/2010/main" xmlns:ns8="http://schemas.microsoft.com/office/drawing/2016/SVG/main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SD-WAN vs. DIA Under TIC 3.0</w:t>
      </w:r>
    </w:p>
    <w:p>
      <w:pPr>
        <w:pStyle w:val="Subtitle"/>
      </w:pPr>
      <w:r>
        <w:t xml:space="preserve">Transport is a physics decision; control is a compliance decision; TIC 3.0 forbids making the first without the second — across fiber, MPLS, LEO satellite, and 5G/6G transports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2026-07-01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4" w:name="sd-wan-vs.-dia-under-tic-3.0"/>
    <w:p>
      <w:pPr>
        <w:pStyle w:val="Heading1"/>
      </w:pPr>
      <w:r>
        <w:t xml:space="preserve">SD-WAN vs. DIA Under TIC 3.0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Federal network programs keep framing</w:t>
            </w:r>
            <w:r>
              <w:t xml:space="preserve"> </w:t>
            </w:r>
            <w:r>
              <w:t xml:space="preserve">“SD-WAN vs. DIA”</w:t>
            </w:r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t xml:space="preserve">choice. DIA is a pipe that solves the geographic hairpin; SD-WAN is the</w:t>
            </w:r>
            <w:r>
              <w:t xml:space="preserve"> </w:t>
            </w:r>
            <w:r>
              <w:t xml:space="preserve">control surface that governs pipes. Treated as alternatives, agencies end up</w:t>
            </w:r>
            <w:r>
              <w:t xml:space="preserve"> </w:t>
            </w:r>
            <w:r>
              <w:t xml:space="preserve">with a governed network too slow for voice or a fast network that is a</w:t>
            </w:r>
            <w:r>
              <w:t xml:space="preserve"> </w:t>
            </w:r>
            <w:r>
              <w:t xml:space="preserve">compliance finding — and a bare DIA branch egress sits outside any assessed</w:t>
            </w:r>
            <w:r>
              <w:t xml:space="preserve"> </w:t>
            </w:r>
            <w:r>
              <w:t xml:space="preserve">boundary.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Transport is a physics decision (fiber, MPLS, LEO, and 5G differ</w:t>
            </w:r>
            <w:r>
              <w:t xml:space="preserve"> </w:t>
            </w:r>
            <w:r>
              <w:t xml:space="preserve">enormously in physics and close exactly one control family, CP-8 diversity);</w:t>
            </w:r>
            <w:r>
              <w:t xml:space="preserve"> </w:t>
            </w:r>
            <w:r>
              <w:t xml:space="preserve">control is a compliance decision (the SD-WAN/SASE governor closes the</w:t>
            </w:r>
            <w:r>
              <w:t xml:space="preserve"> </w:t>
            </w:r>
            <w:r>
              <w:t xml:space="preserve">protection controls); TIC 3.0 is why you cannot stop at the pipe — and the</w:t>
            </w:r>
            <w:r>
              <w:t xml:space="preserve"> </w:t>
            </w:r>
            <w:r>
              <w:t xml:space="preserve">governor is itself attack surface. Part 8 turns that into a five-step order of</w:t>
            </w:r>
            <w:r>
              <w:t xml:space="preserve"> </w:t>
            </w:r>
            <w:r>
              <w:t xml:space="preserve">operations.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Before the next transport or SD-WAN procurement: run Part 8 against</w:t>
            </w:r>
            <w:r>
              <w:t xml:space="preserve"> </w:t>
            </w:r>
            <w:r>
              <w:t xml:space="preserve">the current portfolio, file the CA-6 authorization-boundary update before</w:t>
            </w:r>
            <w:r>
              <w:t xml:space="preserve"> </w:t>
            </w:r>
            <w:r>
              <w:t xml:space="preserve">cutover rather than after, name an owner for each of the five steps, and hand</w:t>
            </w:r>
            <w:r>
              <w:t xml:space="preserve"> </w:t>
            </w:r>
            <w:r>
              <w:t xml:space="preserve">the physics argument to whoever signs the transport contract. The four steps</w:t>
            </w:r>
            <w:r>
              <w:t xml:space="preserve"> </w:t>
            </w:r>
            <w:r>
              <w:t xml:space="preserve">are in the Call to Action.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3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1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 this whitepaper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Federal network modernization conversations keep framing a decision as</w:t>
            </w:r>
            <w:r>
              <w:t xml:space="preserve"> </w:t>
            </w:r>
            <w:r>
              <w:t xml:space="preserve">“SD-WAN vs. DIA”</w:t>
            </w:r>
            <w:r>
              <w:t xml:space="preserve"> </w:t>
            </w:r>
            <w:r>
              <w:t xml:space="preserve">— as if the two were competing answers to the same question.</w:t>
            </w:r>
            <w:r>
              <w:t xml:space="preserve"> </w:t>
            </w:r>
            <w:r>
              <w:t xml:space="preserve">They are answers to different questions, and agencies that treat them as</w:t>
            </w:r>
            <w:r>
              <w:t xml:space="preserve"> </w:t>
            </w:r>
            <w:r>
              <w:t xml:space="preserve">alternatives end up with one of two failure modes: a governed network that is</w:t>
            </w:r>
            <w:r>
              <w:t xml:space="preserve"> </w:t>
            </w:r>
            <w:r>
              <w:t xml:space="preserve">too slow for voice, or a fast network that is a compliance finding.</w:t>
            </w:r>
          </w:p>
          <w:p>
            <w:pPr>
              <w:pStyle w:val="BodyText"/>
            </w:pPr>
            <w:r>
              <w:t xml:space="preserve">This paper makes eight arguments, one per part: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versus is false.</w:t>
            </w:r>
            <w:r>
              <w:t xml:space="preserve"> </w:t>
            </w:r>
            <w:r>
              <w:t xml:space="preserve">DIA is a pipe; SD-WAN is the control surface that</w:t>
            </w:r>
            <w:r>
              <w:t xml:space="preserve"> </w:t>
            </w:r>
            <w:r>
              <w:t xml:space="preserve">governs pipes. DIA solves exactly one problem (the geographic hairpin),</w:t>
            </w:r>
            <w:r>
              <w:t xml:space="preserve"> </w:t>
            </w:r>
            <w:r>
              <w:t xml:space="preserve">satisfies none of the confidentiality, integrity, flow-enforcement,</w:t>
            </w:r>
            <w:r>
              <w:t xml:space="preserve"> </w:t>
            </w:r>
            <w:r>
              <w:t xml:space="preserve">boundary, malware, or monitoring controls claimed near it — and, deployed</w:t>
            </w:r>
            <w:r>
              <w:t xml:space="preserve"> </w:t>
            </w:r>
            <w:r>
              <w:t xml:space="preserve">bare, leaves the branch egress outside any assessed boundary.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DIA exists because of physics, not preference.</w:t>
            </w:r>
            <w:r>
              <w:t xml:space="preserve"> </w:t>
            </w:r>
            <w:r>
              <w:t xml:space="preserve">Light in fiber travels</w:t>
            </w:r>
            <w:r>
              <w:t xml:space="preserve"> </w:t>
            </w:r>
            <w:r>
              <w:t xml:space="preserve">at roughly 200,000 km/s, ITU-T G.114 budgets 150 ms one-way for voice, and</w:t>
            </w:r>
            <w:r>
              <w:t xml:space="preserve"> </w:t>
            </w:r>
            <w:r>
              <w:t xml:space="preserve">no security product shortens a fiber path. Local breakout is the only</w:t>
            </w:r>
            <w:r>
              <w:t xml:space="preserve"> </w:t>
            </w:r>
            <w:r>
              <w:t xml:space="preserve">latency fix that exists; everything else in the stack is there to make</w:t>
            </w:r>
            <w:r>
              <w:t xml:space="preserve"> </w:t>
            </w:r>
            <w:r>
              <w:t xml:space="preserve">that fix lawful and evidenced.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Every transport is a pipe — and the pipe menu closes exactly 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control family.</w:t>
            </w:r>
            <w:r>
              <w:t xml:space="preserve"> </w:t>
            </w:r>
            <w:r>
              <w:t xml:space="preserve">Fiber DIA, MPLS, LEO satellite (Starlink), and 5G</w:t>
            </w:r>
            <w:r>
              <w:t xml:space="preserve"> </w:t>
            </w:r>
            <w:r>
              <w:t xml:space="preserve">differ enormously in physics and not at all in their contribution to the</w:t>
            </w:r>
            <w:r>
              <w:t xml:space="preserve"> </w:t>
            </w:r>
            <w:r>
              <w:t xml:space="preserve">protection controls, which is zero for all four. What transport selection</w:t>
            </w:r>
            <w:r>
              <w:t xml:space="preserve"> </w:t>
            </w:r>
            <w:r>
              <w:rPr>
                <w:i/>
                <w:iCs/>
              </w:rPr>
              <w:t xml:space="preserve">does</w:t>
            </w:r>
            <w:r>
              <w:t xml:space="preserve"> </w:t>
            </w:r>
            <w:r>
              <w:t xml:space="preserve">close is CP-8 Telecommunications Services — specifically its</w:t>
            </w:r>
            <w:r>
              <w:t xml:space="preserve"> </w:t>
            </w:r>
            <w:r>
              <w:t xml:space="preserve">CP-8(2) and CP-8(3) provider- and path-diversity enhancements — which is</w:t>
            </w:r>
            <w:r>
              <w:t xml:space="preserve"> </w:t>
            </w:r>
            <w:r>
              <w:t xml:space="preserve">precisely why you buy four pipes; the priority-of-service and</w:t>
            </w:r>
            <w:r>
              <w:t xml:space="preserve"> </w:t>
            </w:r>
            <w:r>
              <w:t xml:space="preserve">provider-contingency-plan enhancements require separate contractual and</w:t>
            </w:r>
            <w:r>
              <w:t xml:space="preserve"> </w:t>
            </w:r>
            <w:r>
              <w:t xml:space="preserve">provider artifacts (Part 8). 6G will extend the physics menu without</w:t>
            </w:r>
            <w:r>
              <w:t xml:space="preserve"> </w:t>
            </w:r>
            <w:r>
              <w:t xml:space="preserve">changing that conclusion.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TIC 3.0 is the policy gate — and it cuts both ways.</w:t>
            </w:r>
            <w:r>
              <w:t xml:space="preserve"> </w:t>
            </w:r>
            <w:r>
              <w:t xml:space="preserve">OMB M-19-26</w:t>
            </w:r>
            <w:r>
              <w:t xml:space="preserve"> </w:t>
            </w:r>
            <w:r>
              <w:t xml:space="preserve">replaced mandatory TIC consolidation with a use-case model: branch</w:t>
            </w:r>
            <w:r>
              <w:t xml:space="preserve"> </w:t>
            </w:r>
            <w:r>
              <w:t xml:space="preserve">traffic may egress locally</w:t>
            </w:r>
            <w:r>
              <w:t xml:space="preserve"> </w:t>
            </w:r>
            <w:r>
              <w:rPr>
                <w:i/>
                <w:iCs/>
              </w:rPr>
              <w:t xml:space="preserve">only when</w:t>
            </w:r>
            <w:r>
              <w:t xml:space="preserve"> </w:t>
            </w:r>
            <w:r>
              <w:t xml:space="preserve">the security-capabilities catalog</w:t>
            </w:r>
            <w:r>
              <w:t xml:space="preserve"> </w:t>
            </w:r>
            <w:r>
              <w:t xml:space="preserve">is satisfied at a distributed policy enforcement point — and only while</w:t>
            </w:r>
            <w:r>
              <w:t xml:space="preserve"> </w:t>
            </w:r>
            <w:r>
              <w:t xml:space="preserve">the agency’s telemetry obligations to CISA are met. The PEP also has a</w:t>
            </w:r>
            <w:r>
              <w:t xml:space="preserve"> </w:t>
            </w:r>
            <w:r>
              <w:t xml:space="preserve">location, and the paper’s own physics argument applies to it.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SD-WAN is the transport governor — necessary, not sufficient.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overlay contributes circuit-wide IPsec encryption (SC-8), traffic-class</w:t>
            </w:r>
            <w:r>
              <w:t xml:space="preserve"> </w:t>
            </w:r>
            <w:r>
              <w:t xml:space="preserve">separation (SC-6), and application-layer path telemetry (SI-4), plus</w:t>
            </w:r>
            <w:r>
              <w:t xml:space="preserve"> </w:t>
            </w:r>
            <w:r>
              <w:t xml:space="preserve">active-active multipath. The boundary, flow, and malware closures come</w:t>
            </w:r>
            <w:r>
              <w:t xml:space="preserve"> </w:t>
            </w:r>
            <w:r>
              <w:t xml:space="preserve">from the SASE stack above it: SD-WAN alone does not satisfy the TIC 3.0</w:t>
            </w:r>
            <w:r>
              <w:t xml:space="preserve"> </w:t>
            </w:r>
            <w:r>
              <w:t xml:space="preserve">Branch Office use case.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governor is itself attack surface.</w:t>
            </w:r>
            <w:r>
              <w:t xml:space="preserve"> </w:t>
            </w:r>
            <w:r>
              <w:t xml:space="preserve">A controller with agency-wide</w:t>
            </w:r>
            <w:r>
              <w:t xml:space="preserve"> </w:t>
            </w:r>
            <w:r>
              <w:t xml:space="preserve">routing and policy authority, and a fleet of internet-facing edges</w:t>
            </w:r>
            <w:r>
              <w:t xml:space="preserve"> </w:t>
            </w:r>
            <w:r>
              <w:t xml:space="preserve">replacing two hardened egress points, are consequential new exposures —</w:t>
            </w:r>
            <w:r>
              <w:t xml:space="preserve"> </w:t>
            </w:r>
            <w:r>
              <w:t xml:space="preserve">edge-management-plane products are among the most actively exploited</w:t>
            </w:r>
            <w:r>
              <w:t xml:space="preserve"> </w:t>
            </w:r>
            <w:r>
              <w:t xml:space="preserve">categories in federal networks. A paper that credits the governor with</w:t>
            </w:r>
            <w:r>
              <w:t xml:space="preserve"> </w:t>
            </w:r>
            <w:r>
              <w:t xml:space="preserve">eight closures owes the reader the controls that protect the governor.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coverage claims are honesty-clause claims, not absolutes.</w:t>
            </w:r>
            <w:r>
              <w:t xml:space="preserve"> </w:t>
            </w:r>
            <w:r>
              <w:t xml:space="preserve">FIPS-validated per-flow TLS closes SC-8 for the flows that negotiate it;</w:t>
            </w:r>
            <w:r>
              <w:t xml:space="preserve"> </w:t>
            </w:r>
            <w:r>
              <w:t xml:space="preserve">the overlay closes it for every flow at once. And the M365 Optimize</w:t>
            </w:r>
            <w:r>
              <w:t xml:space="preserve"> </w:t>
            </w:r>
            <w:r>
              <w:t xml:space="preserve">carve-out that bypasses the overlay also bypasses inline inspection —</w:t>
            </w:r>
            <w:r>
              <w:t xml:space="preserve"> </w:t>
            </w:r>
            <w:r>
              <w:t xml:space="preserve">which the ledger states per control, anchored in SC-7(4)’s documented</w:t>
            </w:r>
            <w:r>
              <w:t xml:space="preserve"> </w:t>
            </w:r>
            <w:r>
              <w:t xml:space="preserve">traffic-flow exceptions, instead of hiding it in one row.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decision sequence is knowable.</w:t>
            </w:r>
            <w:r>
              <w:t xml:space="preserve"> </w:t>
            </w:r>
            <w:r>
              <w:t xml:space="preserve">Buy the pipe on measured physics</w:t>
            </w:r>
            <w:r>
              <w:t xml:space="preserve"> </w:t>
            </w:r>
            <w:r>
              <w:t xml:space="preserve">within the acquisition and supply-chain envelope, deploy the governor</w:t>
            </w:r>
            <w:r>
              <w:t xml:space="preserve"> </w:t>
            </w:r>
            <w:r>
              <w:t xml:space="preserve">before production traffic, treat the boundary change as the significant</w:t>
            </w:r>
            <w:r>
              <w:t xml:space="preserve"> </w:t>
            </w:r>
            <w:r>
              <w:t xml:space="preserve">change it is, and let the OrgComp series carry the control-by-control</w:t>
            </w:r>
            <w:r>
              <w:t xml:space="preserve"> </w:t>
            </w:r>
            <w:r>
              <w:t xml:space="preserve">build. This paper owns the argument; the volumes own the build and the</w:t>
            </w:r>
            <w:r>
              <w:t xml:space="preserve"> </w:t>
            </w:r>
            <w:r>
              <w:t xml:space="preserve">control closure.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5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1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For decision makers: read this page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paper resolves a question that keeps getting asked wrong.</w:t>
            </w:r>
            <w:r>
              <w:t xml:space="preserve"> </w:t>
            </w:r>
            <w:r>
              <w:t xml:space="preserve">“Should we</w:t>
            </w:r>
            <w:r>
              <w:t xml:space="preserve"> </w:t>
            </w:r>
            <w:r>
              <w:t xml:space="preserve">buy SD-WAN or DIA?”</w:t>
            </w:r>
            <w:r>
              <w:t xml:space="preserve"> </w:t>
            </w:r>
            <w:r>
              <w:t xml:space="preserve">is like asking</w:t>
            </w:r>
            <w:r>
              <w:t xml:space="preserve"> </w:t>
            </w:r>
            <w:r>
              <w:t xml:space="preserve">“highway or traffic law?”</w:t>
            </w:r>
            <w:r>
              <w:t xml:space="preserve"> </w:t>
            </w:r>
            <w:r>
              <w:t xml:space="preserve">— one is a</w:t>
            </w:r>
            <w:r>
              <w:t xml:space="preserve"> </w:t>
            </w:r>
            <w:r>
              <w:t xml:space="preserve">road, the other is what makes the road usable at scale. Get the framing</w:t>
            </w:r>
            <w:r>
              <w:t xml:space="preserve"> </w:t>
            </w:r>
            <w:r>
              <w:t xml:space="preserve">right and the rest of the paper is a checklist, not a debate.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Five things worth knowing before you read further: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“SD-WAN vs. DIA”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a false choice.</w:t>
            </w:r>
            <w:r>
              <w:t xml:space="preserve"> </w:t>
            </w:r>
            <w:r>
              <w:t xml:space="preserve">DIA is the fast internet</w:t>
            </w:r>
            <w:r>
              <w:t xml:space="preserve"> </w:t>
            </w:r>
            <w:r>
              <w:t xml:space="preserve">connection at a field office; SD-WAN is part of what governs it.</w:t>
            </w:r>
            <w:r>
              <w:t xml:space="preserve"> </w:t>
            </w:r>
            <w:r>
              <w:t xml:space="preserve">Buying one does not substitute for the other — agencies that treat</w:t>
            </w:r>
            <w:r>
              <w:t xml:space="preserve"> </w:t>
            </w:r>
            <w:r>
              <w:t xml:space="preserve">them as competing options end up with either a governed network too</w:t>
            </w:r>
            <w:r>
              <w:t xml:space="preserve"> </w:t>
            </w:r>
            <w:r>
              <w:t xml:space="preserve">slow for phone calls, or a fast network that fails an audit.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The speed problem is physics, not a vendor decision.</w:t>
            </w:r>
            <w:r>
              <w:t xml:space="preserve"> </w:t>
            </w:r>
            <w:r>
              <w:t xml:space="preserve">Data takes</w:t>
            </w:r>
            <w:r>
              <w:t xml:space="preserve"> </w:t>
            </w:r>
            <w:r>
              <w:t xml:space="preserve">measurable time to travel long distances no matter whose equipment</w:t>
            </w:r>
            <w:r>
              <w:t xml:space="preserve"> </w:t>
            </w:r>
            <w:r>
              <w:t xml:space="preserve">carries it. The only real fix is routing internet traffic out locally,</w:t>
            </w:r>
            <w:r>
              <w:t xml:space="preserve"> </w:t>
            </w:r>
            <w:r>
              <w:t xml:space="preserve">near the user, instead of detouring it through a distant data center</w:t>
            </w:r>
            <w:r>
              <w:t xml:space="preserve"> </w:t>
            </w:r>
            <w:r>
              <w:t xml:space="preserve">first. No security product shortens that physical path.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The compliance problem is policy, not physics.</w:t>
            </w:r>
            <w:r>
              <w:t xml:space="preserve"> </w:t>
            </w:r>
            <w:r>
              <w:t xml:space="preserve">Federal rules now</w:t>
            </w:r>
            <w:r>
              <w:t xml:space="preserve"> </w:t>
            </w:r>
            <w:r>
              <w:t xml:space="preserve">allow that faster, local routing — but only when real security</w:t>
            </w:r>
            <w:r>
              <w:t xml:space="preserve"> </w:t>
            </w:r>
            <w:r>
              <w:t xml:space="preserve">controls sit at the point where traffic leaves the building, and the</w:t>
            </w:r>
            <w:r>
              <w:t xml:space="preserve"> </w:t>
            </w:r>
            <w:r>
              <w:t xml:space="preserve">agency keeps sharing what those controls see with federal monitoring</w:t>
            </w:r>
            <w:r>
              <w:t xml:space="preserve"> </w:t>
            </w:r>
            <w:r>
              <w:t xml:space="preserve">programs. Skip that condition and the speed fix becomes an audit</w:t>
            </w:r>
            <w:r>
              <w:t xml:space="preserve"> </w:t>
            </w:r>
            <w:r>
              <w:t xml:space="preserve">finding instead of a solution.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The system that provides those controls is itself worth protecting.</w:t>
            </w:r>
            <w:r>
              <w:t xml:space="preserve"> </w:t>
            </w:r>
            <w:r>
              <w:t xml:space="preserve">Centralizing routing and security policy in one governing platform is</w:t>
            </w:r>
            <w:r>
              <w:t xml:space="preserve"> </w:t>
            </w:r>
            <w:r>
              <w:t xml:space="preserve">powerful, but it also becomes the single most attractive target on the</w:t>
            </w:r>
            <w:r>
              <w:t xml:space="preserve"> </w:t>
            </w:r>
            <w:r>
              <w:t xml:space="preserve">network — so the paper insists on securing that platform, not just</w:t>
            </w:r>
            <w:r>
              <w:t xml:space="preserve"> </w:t>
            </w:r>
            <w:r>
              <w:t xml:space="preserve">deploying it.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The paper ends in a five-step order of operations (Part 8):</w:t>
            </w:r>
            <w:r>
              <w:t xml:space="preserve"> </w:t>
            </w:r>
            <w:r>
              <w:t xml:space="preserve">buy</w:t>
            </w:r>
            <w:r>
              <w:t xml:space="preserve"> </w:t>
            </w:r>
            <w:r>
              <w:t xml:space="preserve">connections based on measured, real-world performance and</w:t>
            </w:r>
            <w:r>
              <w:t xml:space="preserve"> </w:t>
            </w:r>
            <w:r>
              <w:t xml:space="preserve">supply-chain rules; turn on the governing security layer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real traffic moves onto the new connections; treat the network-boundary</w:t>
            </w:r>
            <w:r>
              <w:t xml:space="preserve"> </w:t>
            </w:r>
            <w:r>
              <w:t xml:space="preserve">change as the formal, reviewable decision it is; handle Microsoft 365</w:t>
            </w:r>
            <w:r>
              <w:t xml:space="preserve"> </w:t>
            </w:r>
            <w:r>
              <w:t xml:space="preserve">traffic through its own documented exception rather than an ad hoc</w:t>
            </w:r>
            <w:r>
              <w:t xml:space="preserve"> </w:t>
            </w:r>
            <w:r>
              <w:t xml:space="preserve">workaround; and register the supporting technical evidence where the</w:t>
            </w:r>
            <w:r>
              <w:t xml:space="preserve"> </w:t>
            </w:r>
            <w:r>
              <w:t xml:space="preserve">program’s companion volumes track it. Doing these out of order —</w:t>
            </w:r>
            <w:r>
              <w:t xml:space="preserve"> </w:t>
            </w:r>
            <w:r>
              <w:t xml:space="preserve">especially lighting up fast connections before the security layer is</w:t>
            </w:r>
            <w:r>
              <w:t xml:space="preserve"> </w:t>
            </w:r>
            <w:r>
              <w:t xml:space="preserve">live — is the single most common and most costly mistake this paper</w:t>
            </w:r>
            <w:r>
              <w:t xml:space="preserve"> </w:t>
            </w:r>
            <w:r>
              <w:t xml:space="preserve">sees agencies make.</w:t>
            </w:r>
          </w:p>
          <w:p/>
        </w:tc>
      </w:tr>
    </w:tbl>
    <w:p>
      <w:r>
        <w:pict>
          <ns5:rect style="width:0;height:1.5pt" ns6:hralign="center" ns6:hrstd="t" ns6:hr="t"/>
        </w:pict>
      </w:r>
    </w:p>
    <w:bookmarkStart w:id="22" w:name="part-1-the-false-versus"/>
    <w:p>
      <w:pPr>
        <w:pStyle w:val="Heading2"/>
      </w:pPr>
      <w:r>
        <w:t xml:space="preserve">Part 1 — The False Versus</w:t>
      </w:r>
    </w:p>
    <w:p>
      <w:pPr>
        <w:pStyle w:val="FirstParagraph"/>
      </w:pPr>
      <w:r>
        <w:t xml:space="preserve">When a modernization proposal says</w:t>
      </w:r>
      <w:r>
        <w:t xml:space="preserve"> </w:t>
      </w:r>
      <w:r>
        <w:t xml:space="preserve">“we will add Direct Internet Access at</w:t>
      </w:r>
      <w:r>
        <w:t xml:space="preserve"> </w:t>
      </w:r>
      <w:r>
        <w:t xml:space="preserve">field offices,”</w:t>
      </w:r>
      <w:r>
        <w:t xml:space="preserve"> </w:t>
      </w:r>
      <w:r>
        <w:t xml:space="preserve">it has answered a connectivity question. When a reviewer asks</w:t>
      </w:r>
      <w:r>
        <w:t xml:space="preserve"> </w:t>
      </w:r>
      <w:r>
        <w:t xml:space="preserve">“SD-WAN or DIA?”</w:t>
      </w:r>
      <w:r>
        <w:t xml:space="preserve">, the question itself is malformed — like asking</w:t>
      </w:r>
      <w:r>
        <w:t xml:space="preserve"> </w:t>
      </w:r>
      <w:r>
        <w:t xml:space="preserve">“highway or</w:t>
      </w:r>
      <w:r>
        <w:t xml:space="preserve"> </w:t>
      </w:r>
      <w:r>
        <w:t xml:space="preserve">traffic law?”</w:t>
      </w:r>
      <w:r>
        <w:t xml:space="preserve"> </w:t>
      </w:r>
      <w:r>
        <w:t xml:space="preserve">One is infrastructure; the other is the regime that makes the</w:t>
      </w:r>
      <w:r>
        <w:t xml:space="preserve"> </w:t>
      </w:r>
      <w:r>
        <w:t xml:space="preserve">infrastructure usable at scale.</w:t>
      </w:r>
    </w:p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OrgComp Executive Summary</w:t>
        </w:r>
      </w:hyperlink>
      <w:r>
        <w:t xml:space="preserve"> </w:t>
      </w:r>
      <w:r>
        <w:t xml:space="preserve">states the three-step argument every DIA conversation must survive, and this</w:t>
      </w:r>
      <w:r>
        <w:t xml:space="preserve"> </w:t>
      </w:r>
      <w:r>
        <w:t xml:space="preserve">paper adopts it as its frame: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What DIA solves: exactly one thing</w:t>
      </w:r>
      <w:r>
        <w:t xml:space="preserve"> </w:t>
      </w:r>
      <w:r>
        <w:t xml:space="preserve">— the geographic hairpin. The</w:t>
      </w:r>
      <w:r>
        <w:t xml:space="preserve"> </w:t>
      </w:r>
      <w:r>
        <w:t xml:space="preserve">latency budget is a physics constraint, and local breakout is the only</w:t>
      </w:r>
      <w:r>
        <w:t xml:space="preserve"> </w:t>
      </w:r>
      <w:r>
        <w:t xml:space="preserve">fix. No security product shortens a fiber path.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What DIA satisfies: none of the protection controls claimed near it.</w:t>
      </w:r>
      <w:r>
        <w:t xml:space="preserve"> </w:t>
      </w:r>
      <w:r>
        <w:t xml:space="preserve">Information-flow enforcement, boundary protection, transmission</w:t>
      </w:r>
      <w:r>
        <w:t xml:space="preserve"> </w:t>
      </w:r>
      <w:r>
        <w:t xml:space="preserve">confidentiality, malware inspection, monitoring, and audit — every</w:t>
      </w:r>
      <w:r>
        <w:t xml:space="preserve"> </w:t>
      </w:r>
      <w:r>
        <w:t xml:space="preserve">protection control invoked around a DIA circuit (SC-7, SC-8, AC-4, SI-3,</w:t>
      </w:r>
      <w:r>
        <w:t xml:space="preserve"> </w:t>
      </w:r>
      <w:r>
        <w:t xml:space="preserve">SI-4, AU-12, CA-7) is satisfied by the SD-WAN, SASE, and TIC 3.0 stack</w:t>
      </w:r>
      <w:r>
        <w:t xml:space="preserve"> </w:t>
      </w:r>
      <w:r>
        <w:t xml:space="preserve">that governs the pipe, never by the pipe. The one control family</w:t>
      </w:r>
      <w:r>
        <w:t xml:space="preserve"> </w:t>
      </w:r>
      <w:r>
        <w:t xml:space="preserve">transport selection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close is CP-8 (Telecommunications Services) —</w:t>
      </w:r>
      <w:r>
        <w:t xml:space="preserve"> </w:t>
      </w:r>
      <w:r>
        <w:t xml:space="preserve">specifically CP-8(2) and CP-8(3) — through diversity — Part 3 returns to</w:t>
      </w:r>
      <w:r>
        <w:t xml:space="preserve"> </w:t>
      </w:r>
      <w:r>
        <w:t xml:space="preserve">it, because it is an argument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 four-pipe menu, not against this</w:t>
      </w:r>
      <w:r>
        <w:t xml:space="preserve"> </w:t>
      </w:r>
      <w:r>
        <w:t xml:space="preserve">claim.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What bare DIA breaks: the assessed boundary.</w:t>
      </w:r>
      <w:r>
        <w:t xml:space="preserve"> </w:t>
      </w:r>
      <w:r>
        <w:t xml:space="preserve">“Bare”</w:t>
      </w:r>
      <w:r>
        <w:t xml:space="preserve"> </w:t>
      </w:r>
      <w:r>
        <w:t xml:space="preserve">here has a</w:t>
      </w:r>
      <w:r>
        <w:t xml:space="preserve"> </w:t>
      </w:r>
      <w:r>
        <w:t xml:space="preserve">precise meaning, used consistently in this paper:</w:t>
      </w:r>
      <w:r>
        <w:t xml:space="preserve"> </w:t>
      </w:r>
      <w:r>
        <w:rPr>
          <w:i/>
          <w:iCs/>
        </w:rPr>
        <w:t xml:space="preserve">a DIA circuit whose</w:t>
      </w:r>
      <w:r>
        <w:rPr>
          <w:i/>
          <w:iCs/>
        </w:rPr>
        <w:t xml:space="preserve"> </w:t>
      </w:r>
      <w:r>
        <w:rPr>
          <w:i/>
          <w:iCs/>
        </w:rPr>
        <w:t xml:space="preserve">policy enforcement point does not satisfy the applicable TIC 3.0</w:t>
      </w:r>
      <w:r>
        <w:rPr>
          <w:i/>
          <w:iCs/>
        </w:rPr>
        <w:t xml:space="preserve"> </w:t>
      </w:r>
      <w:r>
        <w:rPr>
          <w:i/>
          <w:iCs/>
        </w:rPr>
        <w:t xml:space="preserve">security-capabilities catalog entries</w:t>
      </w:r>
      <w:r>
        <w:t xml:space="preserve"> </w:t>
      </w:r>
      <w:r>
        <w:t xml:space="preserve">— which leaves that egress outside</w:t>
      </w:r>
      <w:r>
        <w:t xml:space="preserve"> </w:t>
      </w:r>
      <w:r>
        <w:t xml:space="preserve">any boundary the SSP asserts and the assessor has assessed. (No one</w:t>
      </w:r>
      <w:r>
        <w:t xml:space="preserve"> </w:t>
      </w:r>
      <w:r>
        <w:t xml:space="preserve">proposes a field office with a circuit and no firewall; the failure mode</w:t>
      </w:r>
      <w:r>
        <w:t xml:space="preserve"> </w:t>
      </w:r>
      <w:r>
        <w:t xml:space="preserve">is a PEP that exists but does not meet the catalog.) A field office moved</w:t>
      </w:r>
      <w:r>
        <w:t xml:space="preserve"> </w:t>
      </w:r>
      <w:r>
        <w:t xml:space="preserve">from the MPLS/TIC 2.0 hairpin to bare DIA in this sense has</w:t>
      </w:r>
      <w:r>
        <w:t xml:space="preserve"> </w:t>
      </w:r>
      <w:r>
        <w:rPr>
          <w:i/>
          <w:iCs/>
        </w:rPr>
        <w:t xml:space="preserve">lost</w:t>
      </w:r>
      <w:r>
        <w:t xml:space="preserve"> </w:t>
      </w:r>
      <w:r>
        <w:t xml:space="preserve">assessed SC-7</w:t>
      </w:r>
      <w:r>
        <w:t xml:space="preserve"> </w:t>
      </w:r>
      <w:r>
        <w:rPr>
          <w:b/>
          <w:bCs/>
        </w:rPr>
        <w:t xml:space="preserve">network</w:t>
      </w:r>
      <w:r>
        <w:t xml:space="preserve">-boundary protection relative to its starting</w:t>
      </w:r>
      <w:r>
        <w:t xml:space="preserve"> </w:t>
      </w:r>
      <w:r>
        <w:t xml:space="preserve">point: a compliance regression with better latency.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dia-three-step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19" name="Picture"/>
                  <ns2:graphic>
                    <ns2:graphicData uri="http://schemas.openxmlformats.org/drawingml/2006/picture">
                      <ns3:pic>
                        <ns3:nvPicPr>
                          <ns3:cNvPr descr="../orgcomp-series/figs/es-fig-06-dia-three-step.svg" id="20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>
                            <ns2:extLst>
                              <ns2:ext uri="{28A0092B-C50C-407E-A947-70E740481C1C}">
                                <ns7:useLocalDpi val="0"/>
                              </ns2:ext>
                              <ns2:ext uri="{96DAC541-7B7A-43D3-8B79-37D633B846F1}">
                                <ns8:svgBlip r:embed="rId18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DIA Is a Pipe — the governance stack satisfies the controls, the pipe solves latency</w:t>
            </w:r>
          </w:p>
          <w:bookmarkEnd w:id="21"/>
        </w:tc>
      </w:tr>
    </w:tbl>
    <w:p>
      <w:pPr>
        <w:pStyle w:val="BodyText"/>
      </w:pPr>
      <w:r>
        <w:t xml:space="preserve">Everything that follows elaborates one of those three steps: Part 2 and</w:t>
      </w:r>
      <w:r>
        <w:t xml:space="preserve"> </w:t>
      </w:r>
      <w:r>
        <w:t xml:space="preserve">Part 3 are step one (the physics), Part 4 is step three (the policy), and</w:t>
      </w:r>
      <w:r>
        <w:t xml:space="preserve"> </w:t>
      </w:r>
      <w:r>
        <w:t xml:space="preserve">Parts 5–7 are step two (the control stack — including the controls that</w:t>
      </w:r>
      <w:r>
        <w:t xml:space="preserve"> </w:t>
      </w:r>
      <w:r>
        <w:t xml:space="preserve">protect the control stack itself).</w:t>
      </w:r>
    </w:p>
    <w:p>
      <w:r>
        <w:pict>
          <ns5:rect style="width:0;height:1.5pt" ns6:hralign="center" ns6:hrstd="t" ns6:hr="t"/>
        </w:pict>
      </w:r>
    </w:p>
    <w:bookmarkEnd w:id="22"/>
    <w:bookmarkStart w:id="29" w:name="part-2-the-physics-that-created-dia"/>
    <w:p>
      <w:pPr>
        <w:pStyle w:val="Heading2"/>
      </w:pPr>
      <w:r>
        <w:t xml:space="preserve">Part 2 — The Physics That Created DIA</w:t>
      </w:r>
    </w:p>
    <w:p>
      <w:pPr>
        <w:pStyle w:val="FirstParagraph"/>
      </w:pPr>
      <w:r>
        <w:t xml:space="preserve">Light travels through optical fiber at approximately 200,000 km/s —</w:t>
      </w:r>
      <w:r>
        <w:t xml:space="preserve"> </w:t>
      </w:r>
      <w:r>
        <w:t xml:space="preserve">two-thirds of its vacuum speed, a consequence of the refractive index of</w:t>
      </w:r>
      <w:r>
        <w:t xml:space="preserve"> </w:t>
      </w:r>
      <w:r>
        <w:t xml:space="preserve">glass. For any physical path between two points there is therefore a minimum</w:t>
      </w:r>
      <w:r>
        <w:t xml:space="preserve"> </w:t>
      </w:r>
      <w:r>
        <w:t xml:space="preserve">latency set purely by distance, before a single switch, firewall, or proxy</w:t>
      </w:r>
      <w:r>
        <w:t xml:space="preserve"> </w:t>
      </w:r>
      <w:r>
        <w:t xml:space="preserve">adds a microsecond.</w:t>
      </w:r>
      <w:r>
        <w:t xml:space="preserve"> </w:t>
      </w:r>
      <w:hyperlink r:id="rId23">
        <w:r>
          <w:rPr>
            <w:rStyle w:val="Hyperlink"/>
          </w:rPr>
          <w:t xml:space="preserve">Vol II Book 03</w:t>
        </w:r>
      </w:hyperlink>
      <w:r>
        <w:t xml:space="preserve"> </w:t>
      </w:r>
      <w:r>
        <w:t xml:space="preserve">derives this floor for database replication; the same floor governs voice.</w:t>
      </w:r>
    </w:p>
    <w:p>
      <w:pPr>
        <w:pStyle w:val="BodyText"/>
      </w:pPr>
      <w:r>
        <w:t xml:space="preserve">Voice makes the floor a compliance number.</w:t>
      </w:r>
      <w:r>
        <w:t xml:space="preserve"> </w:t>
      </w:r>
      <w:r>
        <w:rPr>
          <w:b/>
          <w:bCs/>
        </w:rPr>
        <w:t xml:space="preserve">ITU-T G.114 budgets 150 ms</w:t>
      </w:r>
      <w:r>
        <w:rPr>
          <w:b/>
          <w:bCs/>
        </w:rPr>
        <w:t xml:space="preserve"> </w:t>
      </w:r>
      <w:r>
        <w:rPr>
          <w:b/>
          <w:bCs/>
        </w:rPr>
        <w:t xml:space="preserve">one-way delay</w:t>
      </w:r>
      <w:r>
        <w:t xml:space="preserve"> </w:t>
      </w:r>
      <w:r>
        <w:t xml:space="preserve">for acceptable conversational quality. The OrgComp reference</w:t>
      </w:r>
      <w:r>
        <w:t xml:space="preserve"> </w:t>
      </w:r>
      <w:r>
        <w:t xml:space="preserve">case — a Portland field office hairpinning over MPLS through a</w:t>
      </w:r>
      <w:r>
        <w:t xml:space="preserve"> </w:t>
      </w:r>
      <w:r>
        <w:t xml:space="preserve">Washington-area data center before reaching a West-Coast cloud region —</w:t>
      </w:r>
      <w:r>
        <w:t xml:space="preserve"> </w:t>
      </w:r>
      <w:r>
        <w:t xml:space="preserve">spends 100–130 ms one-way on the detour. That number deserves its own</w:t>
      </w:r>
      <w:r>
        <w:t xml:space="preserve"> </w:t>
      </w:r>
      <w:r>
        <w:t xml:space="preserve">honesty clause, because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pure geometry, and the decomposition is</w:t>
      </w:r>
      <w:r>
        <w:t xml:space="preserve"> </w:t>
      </w:r>
      <w:r>
        <w:t xml:space="preserve">the argument: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Propagation</w:t>
      </w:r>
      <w:r>
        <w:t xml:space="preserve">: Portland→Washington great-circle is roughly 3,900 km;</w:t>
      </w:r>
      <w:r>
        <w:t xml:space="preserve"> </w:t>
      </w:r>
      <w:r>
        <w:t xml:space="preserve">the full detour to a West-Coast region roughly doubles it. At 200,000 km/s</w:t>
      </w:r>
      <w:r>
        <w:t xml:space="preserve"> </w:t>
      </w:r>
      <w:r>
        <w:t xml:space="preserve">that is ~20 ms out and ~39 ms for the round trip east-and-back — the</w:t>
      </w:r>
      <w:r>
        <w:t xml:space="preserve"> </w:t>
      </w:r>
      <w:r>
        <w:t xml:space="preserve">irreducible physics term.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Routing inflation</w:t>
      </w:r>
      <w:r>
        <w:t xml:space="preserve">: carrier paths are not great circles; a ~1.5×</w:t>
      </w:r>
      <w:r>
        <w:t xml:space="preserve"> </w:t>
      </w:r>
      <w:r>
        <w:t xml:space="preserve">fiber-route factor over the geodesic is typical, lifting the propagation</w:t>
      </w:r>
      <w:r>
        <w:t xml:space="preserve"> </w:t>
      </w:r>
      <w:r>
        <w:t xml:space="preserve">term toward ~60 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inspection stack</w:t>
      </w:r>
      <w:r>
        <w:t xml:space="preserve">: the TIC 2.0-era security stack at the hairpin —</w:t>
      </w:r>
      <w:r>
        <w:t xml:space="preserve"> </w:t>
      </w:r>
      <w:r>
        <w:t xml:space="preserve">queuing, serialization, proxy and inspection processing — supplies the</w:t>
      </w:r>
      <w:r>
        <w:t xml:space="preserve"> </w:t>
      </w:r>
      <w:r>
        <w:t xml:space="preserve">remainder, and is frequently the</w:t>
      </w:r>
      <w:r>
        <w:t xml:space="preserve"> </w:t>
      </w:r>
      <w:r>
        <w:rPr>
          <w:i/>
          <w:iCs/>
        </w:rPr>
        <w:t xml:space="preserve">largest</w:t>
      </w:r>
      <w:r>
        <w:t xml:space="preserve"> </w:t>
      </w:r>
      <w:r>
        <w:t xml:space="preserve">term.</w:t>
      </w:r>
    </w:p>
    <w:p>
      <w:pPr>
        <w:pStyle w:val="FirstParagraph"/>
      </w:pPr>
      <w:r>
        <w:t xml:space="preserve">The decomposition matters because it makes the prescription precise: local</w:t>
      </w:r>
      <w:r>
        <w:t xml:space="preserve"> </w:t>
      </w:r>
      <w:r>
        <w:t xml:space="preserve">breakout deletes the first two terms, and the distributed PEP re-architects</w:t>
      </w:r>
      <w:r>
        <w:t xml:space="preserve"> </w:t>
      </w:r>
      <w:r>
        <w:t xml:space="preserve">the third — it does not delete inspection, it moves inspection to where the</w:t>
      </w:r>
      <w:r>
        <w:t xml:space="preserve"> </w:t>
      </w:r>
      <w:r>
        <w:t xml:space="preserve">latency budget can afford it. The same office breaking out locally to a</w:t>
      </w:r>
      <w:r>
        <w:t xml:space="preserve"> </w:t>
      </w:r>
      <w:r>
        <w:t xml:space="preserve">nearby cloud region measures 5–15 ms one-way. That difference is geometry</w:t>
      </w:r>
      <w:r>
        <w:t xml:space="preserve"> </w:t>
      </w:r>
      <w:r>
        <w:t xml:space="preserve">plus stack placement; neither is a product feature.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physics-floor"/>
          <w:p>
            <w:pPr>
              <w:pStyle w:val="Compact"/>
              <w:jc w:val="center"/>
            </w:pPr>
            <w:r>
              <w:drawing>
                <ns1:inline>
                  <ns1:extent cx="5334000" cy="2755900"/>
                  <ns1:effectExtent b="0" l="0" r="0" t="0"/>
                  <ns1:docPr descr="" title="" id="25" name="Picture"/>
                  <ns2:graphic>
                    <ns2:graphicData uri="http://schemas.openxmlformats.org/drawingml/2006/picture">
                      <ns3:pic>
                        <ns3:nvPicPr>
                          <ns3:cNvPr descr="../orgcomp-series/figs/mf-fig-02-physics-floor.svg" id="2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>
                            <ns2:extLst>
                              <ns2:ext uri="{28A0092B-C50C-407E-A947-70E740481C1C}">
                                <ns7:useLocalDpi val="0"/>
                              </ns2:ext>
                              <ns2:ext uri="{96DAC541-7B7A-43D3-8B79-37D633B846F1}">
                                <ns8:svgBlip r:embed="rId24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27559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Physics floor: fiber vs. LEO satellite vs. 5G — the latency menu the buyer actually chooses from</w:t>
            </w:r>
          </w:p>
          <w:bookmarkEnd w:id="27"/>
        </w:tc>
      </w:tr>
    </w:tbl>
    <w:p>
      <w:pPr>
        <w:pStyle w:val="BodyText"/>
      </w:pPr>
      <w:r>
        <w:t xml:space="preserve">Two properties of this problem shape everything downstream: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Distance is the only latency variable a buyer controls.</w:t>
      </w:r>
      <w:r>
        <w:t xml:space="preserve"> </w:t>
      </w:r>
      <w:r>
        <w:t xml:space="preserve">Direct</w:t>
      </w:r>
      <w:r>
        <w:t xml:space="preserve"> </w:t>
      </w:r>
      <w:r>
        <w:t xml:space="preserve">Internet Access — local breakout — shortens the physical path by</w:t>
      </w:r>
      <w:r>
        <w:t xml:space="preserve"> </w:t>
      </w:r>
      <w:r>
        <w:t xml:space="preserve">eliminating the geographic hairpin. There is no second latency fix, which</w:t>
      </w:r>
      <w:r>
        <w:t xml:space="preserve"> </w:t>
      </w:r>
      <w:r>
        <w:t xml:space="preserve">is why every transport conversation eventually arrives at DIA.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Carrier topology is not geometry.</w:t>
      </w:r>
      <w:r>
        <w:t xml:space="preserve"> </w:t>
      </w:r>
      <w:r>
        <w:t xml:space="preserve">MPLS routes traffic along paths</w:t>
      </w:r>
      <w:r>
        <w:t xml:space="preserve"> </w:t>
      </w:r>
      <w:r>
        <w:t xml:space="preserve">determined by the carrier’s peering points, not the shortest physical</w:t>
      </w:r>
      <w:r>
        <w:t xml:space="preserve"> </w:t>
      </w:r>
      <w:r>
        <w:t xml:space="preserve">path. A packet from Virginia to Oregon may transit Chicago and Denver</w:t>
      </w:r>
      <w:r>
        <w:t xml:space="preserve"> </w:t>
      </w:r>
      <w:r>
        <w:t xml:space="preserve">because those are where the carrier interconnects. Buying a faster circuit</w:t>
      </w:r>
      <w:r>
        <w:t xml:space="preserve"> </w:t>
      </w:r>
      <w:r>
        <w:t xml:space="preserve">does not straighten the path.</w:t>
      </w:r>
    </w:p>
    <w:p>
      <w:pPr>
        <w:pStyle w:val="FirstParagraph"/>
      </w:pPr>
      <w:r>
        <w:t xml:space="preserve">The trap is what leadership concludes next: that adding the DIA circuit</w:t>
      </w:r>
      <w:r>
        <w:t xml:space="preserve"> </w:t>
      </w:r>
      <w:r>
        <w:t xml:space="preserve">solved</w:t>
      </w:r>
      <w:r>
        <w:t xml:space="preserve"> </w:t>
      </w:r>
      <w:r>
        <w:t xml:space="preserve">“the network problem.”</w:t>
      </w:r>
      <w:r>
        <w:t xml:space="preserve"> </w:t>
      </w:r>
      <w:r>
        <w:t xml:space="preserve">It solved the</w:t>
      </w:r>
      <w:r>
        <w:t xml:space="preserve"> </w:t>
      </w:r>
      <w:r>
        <w:rPr>
          <w:i/>
          <w:iCs/>
        </w:rPr>
        <w:t xml:space="preserve">latency</w:t>
      </w:r>
      <w:r>
        <w:t xml:space="preserve"> </w:t>
      </w:r>
      <w:r>
        <w:t xml:space="preserve">problem.</w:t>
      </w:r>
      <w:r>
        <w:t xml:space="preserve"> </w:t>
      </w:r>
      <w:hyperlink r:id="rId28">
        <w:r>
          <w:rPr>
            <w:rStyle w:val="Hyperlink"/>
          </w:rPr>
          <w:t xml:space="preserve">Vol I Book 05</w:t>
        </w:r>
      </w:hyperlink>
      <w:r>
        <w:t xml:space="preserve"> </w:t>
      </w:r>
      <w:r>
        <w:t xml:space="preserve">is blunt about the remainder: DIA is a better-positioned pipe than the MPLS</w:t>
      </w:r>
      <w:r>
        <w:t xml:space="preserve"> </w:t>
      </w:r>
      <w:r>
        <w:t xml:space="preserve">circuit it supplements, but it is still a single, unintelligent pipe — no</w:t>
      </w:r>
      <w:r>
        <w:t xml:space="preserve"> </w:t>
      </w:r>
      <w:r>
        <w:t xml:space="preserve">visibility into what is happening on it, no ability to respond when it</w:t>
      </w:r>
      <w:r>
        <w:t xml:space="preserve"> </w:t>
      </w:r>
      <w:r>
        <w:t xml:space="preserve">degrades, no way to know whether it is currently the best available path.</w:t>
      </w:r>
    </w:p>
    <w:p>
      <w:r>
        <w:pict>
          <ns5:rect style="width:0;height:1.5pt" ns6:hralign="center" ns6:hrstd="t" ns6:hr="t"/>
        </w:pict>
      </w:r>
    </w:p>
    <w:bookmarkEnd w:id="29"/>
    <w:bookmarkStart w:id="34" w:name="Xe02df326e999f4e9caff5005853cbcec2dd68dc"/>
    <w:p>
      <w:pPr>
        <w:pStyle w:val="Heading2"/>
      </w:pPr>
      <w:r>
        <w:t xml:space="preserve">Part 3 — The Transport Menu: Fiber, MPLS, LEO, 5G — and 6G</w:t>
      </w:r>
    </w:p>
    <w:p>
      <w:pPr>
        <w:pStyle w:val="FirstParagraph"/>
      </w:pPr>
      <w:r>
        <w:t xml:space="preserve">The overlay doctrine of Part 5 only makes sense once the transport menu is</w:t>
      </w:r>
      <w:r>
        <w:t xml:space="preserve"> </w:t>
      </w:r>
      <w:r>
        <w:t xml:space="preserve">seen for what it is: four pipes with radically different physics and — for</w:t>
      </w:r>
      <w:r>
        <w:t xml:space="preserve"> </w:t>
      </w:r>
      <w:r>
        <w:t xml:space="preserve">the protection control families — identical compliance contribution: zero.</w:t>
      </w:r>
      <w:r>
        <w:t xml:space="preserve"> </w:t>
      </w:r>
      <w:r>
        <w:t xml:space="preserve">The table states each latency figure’s measurement basis explicitly, because</w:t>
      </w:r>
      <w:r>
        <w:t xml:space="preserve"> </w:t>
      </w:r>
      <w:r>
        <w:t xml:space="preserve">the paper’s budget (G.114) is one-way and the transports are conventionally</w:t>
      </w:r>
      <w:r>
        <w:t xml:space="preserve"> </w:t>
      </w:r>
      <w:r>
        <w:t xml:space="preserve">quoted on different bases:</w:t>
      </w:r>
    </w:p>
    <w:p>
      <w:pPr>
        <w:pStyle w:val="TableCaption"/>
      </w:pPr>
      <w:r>
        <w:t xml:space="preserve">The transport menu — physics varies; protection-control contribution does not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he transport menu — physics varies; protection-control contribution does not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Propagation physics</w:t>
            </w:r>
          </w:p>
        </w:tc>
        <w:tc>
          <w:tcPr/>
          <w:p>
            <w:pPr>
              <w:pStyle w:val="Compact"/>
            </w:pPr>
            <w:r>
              <w:t xml:space="preserve">Path geometry</w:t>
            </w:r>
          </w:p>
        </w:tc>
        <w:tc>
          <w:tcPr/>
          <w:p>
            <w:pPr>
              <w:pStyle w:val="Compact"/>
            </w:pPr>
            <w:r>
              <w:t xml:space="preserve">Reference latency figure (basis stated)</w:t>
            </w:r>
          </w:p>
        </w:tc>
        <w:tc>
          <w:tcPr/>
          <w:p>
            <w:pPr>
              <w:pStyle w:val="Compact"/>
            </w:pPr>
            <w:r>
              <w:t xml:space="preserve">Contribution to protection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Fiber DIA (broadband)</w:t>
            </w:r>
          </w:p>
        </w:tc>
        <w:tc>
          <w:tcPr/>
          <w:p>
            <w:pPr>
              <w:pStyle w:val="Compact"/>
            </w:pPr>
            <w:r>
              <w:t xml:space="preserve">~200,000 km/s in glass</w:t>
            </w:r>
          </w:p>
        </w:tc>
        <w:tc>
          <w:tcPr/>
          <w:p>
            <w:pPr>
              <w:pStyle w:val="Compact"/>
            </w:pPr>
            <w:r>
              <w:t xml:space="preserve">ISP routing; locally short</w:t>
            </w:r>
          </w:p>
        </w:tc>
        <w:tc>
          <w:tcPr/>
          <w:p>
            <w:pPr>
              <w:pStyle w:val="Compact"/>
            </w:pPr>
            <w:r>
              <w:t xml:space="preserve">5–15 ms</w:t>
            </w:r>
            <w:r>
              <w:t xml:space="preserve"> </w:t>
            </w:r>
            <w:r>
              <w:rPr>
                <w:b/>
                <w:bCs/>
              </w:rPr>
              <w:t xml:space="preserve">one-way, end-to-end</w:t>
            </w:r>
            <w:r>
              <w:t xml:space="preserve"> </w:t>
            </w:r>
            <w:r>
              <w:t xml:space="preserve">Portland → nearby cloud region</w:t>
            </w:r>
          </w:p>
        </w:tc>
        <w:tc>
          <w:tcPr/>
          <w:p>
            <w:pPr>
              <w:pStyle w:val="Compact"/>
            </w:pPr>
            <w:r>
              <w:t xml:space="preserve">None — a pipe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MPLS</w:t>
            </w:r>
          </w:p>
        </w:tc>
        <w:tc>
          <w:tcPr/>
          <w:p>
            <w:pPr>
              <w:pStyle w:val="Compact"/>
            </w:pPr>
            <w:r>
              <w:t xml:space="preserve">Same glass, same speed</w:t>
            </w:r>
          </w:p>
        </w:tc>
        <w:tc>
          <w:tcPr/>
          <w:p>
            <w:pPr>
              <w:pStyle w:val="Compact"/>
            </w:pPr>
            <w:r>
              <w:t xml:space="preserve">Carrier peering topology; often geographically indirect, plus the agency hairpin</w:t>
            </w:r>
          </w:p>
        </w:tc>
        <w:tc>
          <w:tcPr/>
          <w:p>
            <w:pPr>
              <w:pStyle w:val="Compact"/>
            </w:pPr>
            <w:r>
              <w:t xml:space="preserve">100–130 ms</w:t>
            </w:r>
            <w:r>
              <w:t xml:space="preserve"> </w:t>
            </w:r>
            <w:r>
              <w:rPr>
                <w:b/>
                <w:bCs/>
              </w:rPr>
              <w:t xml:space="preserve">one-way, end-to-end incl. inspection stack</w:t>
            </w:r>
            <w:r>
              <w:t xml:space="preserve"> </w:t>
            </w:r>
            <w:r>
              <w:t xml:space="preserve">Portland → cloud via East-Coast DC (decomposed in Part 2)</w:t>
            </w:r>
          </w:p>
        </w:tc>
        <w:tc>
          <w:tcPr/>
          <w:p>
            <w:pPr>
              <w:pStyle w:val="Compact"/>
            </w:pPr>
            <w:r>
              <w:t xml:space="preserve">None — a pipe with a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LEO satellite (Starlink-class)</w:t>
            </w:r>
          </w:p>
        </w:tc>
        <w:tc>
          <w:tcPr/>
          <w:p>
            <w:pPr>
              <w:pStyle w:val="Compact"/>
            </w:pPr>
            <w:r>
              <w:t xml:space="preserve">~299,792 km/s in vacuum — 50% faster than glass per km</w:t>
            </w:r>
          </w:p>
        </w:tc>
        <w:tc>
          <w:tcPr/>
          <w:p>
            <w:pPr>
              <w:pStyle w:val="Compact"/>
            </w:pPr>
            <w:r>
              <w:t xml:space="preserve">Up 550 km, across the constellation, down</w:t>
            </w:r>
          </w:p>
        </w:tc>
        <w:tc>
          <w:tcPr/>
          <w:p>
            <w:pPr>
              <w:pStyle w:val="Compact"/>
            </w:pPr>
            <w:r>
              <w:t xml:space="preserve">20–40 ms</w:t>
            </w:r>
            <w:r>
              <w:t xml:space="preserve"> </w:t>
            </w:r>
            <w:r>
              <w:rPr>
                <w:b/>
                <w:bCs/>
              </w:rPr>
              <w:t xml:space="preserve">round-trip, terminal to ground segment</w:t>
            </w:r>
            <w:r>
              <w:t xml:space="preserve">, long-haul, improving</w:t>
            </w:r>
          </w:p>
        </w:tc>
        <w:tc>
          <w:tcPr/>
          <w:p>
            <w:pPr>
              <w:pStyle w:val="Compact"/>
            </w:pPr>
            <w:r>
              <w:t xml:space="preserve">None — a pipe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5G (mid-band / MEC)</w:t>
            </w:r>
          </w:p>
        </w:tc>
        <w:tc>
          <w:tcPr/>
          <w:p>
            <w:pPr>
              <w:pStyle w:val="Compact"/>
            </w:pPr>
            <w:r>
              <w:t xml:space="preserve">Radio to the tower, then fiber</w:t>
            </w:r>
          </w:p>
        </w:tc>
        <w:tc>
          <w:tcPr/>
          <w:p>
            <w:pPr>
              <w:pStyle w:val="Compact"/>
            </w:pPr>
            <w:r>
              <w:t xml:space="preserve">CUPS + MEC allow breakout at or near the cell edge</w:t>
            </w:r>
          </w:p>
        </w:tc>
        <w:tc>
          <w:tcPr/>
          <w:p>
            <w:pPr>
              <w:pStyle w:val="Compact"/>
            </w:pPr>
            <w:r>
              <w:t xml:space="preserve">5–10 ms</w:t>
            </w:r>
            <w:r>
              <w:t xml:space="preserve"> </w:t>
            </w:r>
            <w:r>
              <w:rPr>
                <w:b/>
                <w:bCs/>
              </w:rPr>
              <w:t xml:space="preserve">air interface only</w:t>
            </w:r>
            <w:r>
              <w:t xml:space="preserve"> </w:t>
            </w:r>
            <w:r>
              <w:t xml:space="preserve">— end-to-end adds the wireline segment beyond the MEC breakout</w:t>
            </w:r>
          </w:p>
        </w:tc>
        <w:tc>
          <w:tcPr/>
          <w:p>
            <w:pPr>
              <w:pStyle w:val="Compact"/>
            </w:pPr>
            <w:r>
              <w:t xml:space="preserve">None — a pipe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one control family the menu itself closes — and only two of its four</w:t>
      </w:r>
      <w:r>
        <w:rPr>
          <w:b/>
          <w:bCs/>
        </w:rPr>
        <w:t xml:space="preserve"> </w:t>
      </w:r>
      <w:r>
        <w:rPr>
          <w:b/>
          <w:bCs/>
        </w:rPr>
        <w:t xml:space="preserve">enhancements.</w:t>
      </w:r>
      <w:r>
        <w:t xml:space="preserve"> </w:t>
      </w:r>
      <w:r>
        <w:t xml:space="preserve">The scoping in that last column is deliberate: transport</w:t>
      </w:r>
      <w:r>
        <w:t xml:space="preserve"> </w:t>
      </w:r>
      <w:r>
        <w:t xml:space="preserve">selection contributes nothing to confidentiality, integrity, flow</w:t>
      </w:r>
      <w:r>
        <w:t xml:space="preserve"> </w:t>
      </w:r>
      <w:r>
        <w:t xml:space="preserve">enforcement, boundary, malware, or monitoring — and it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thing</w:t>
      </w:r>
      <w:r>
        <w:t xml:space="preserve"> </w:t>
      </w:r>
      <w:r>
        <w:t xml:space="preserve">that closes the base</w:t>
      </w:r>
      <w:r>
        <w:t xml:space="preserve"> </w:t>
      </w:r>
      <w:r>
        <w:rPr>
          <w:b/>
          <w:bCs/>
        </w:rPr>
        <w:t xml:space="preserve">CP-8 (Telecommunications Services)</w:t>
      </w:r>
      <w:r>
        <w:t xml:space="preserve"> </w:t>
      </w:r>
      <w:r>
        <w:t xml:space="preserve">control and two</w:t>
      </w:r>
      <w:r>
        <w:t xml:space="preserve"> </w:t>
      </w:r>
      <w:r>
        <w:t xml:space="preserve">of its enhancements:</w:t>
      </w:r>
      <w:r>
        <w:t xml:space="preserve"> </w:t>
      </w:r>
      <w:r>
        <w:rPr>
          <w:b/>
          <w:bCs/>
        </w:rPr>
        <w:t xml:space="preserve">CP-8(2) Single Points of Failure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CP-8(3)</w:t>
      </w:r>
      <w:r>
        <w:rPr>
          <w:b/>
          <w:bCs/>
        </w:rPr>
        <w:t xml:space="preserve"> </w:t>
      </w:r>
      <w:r>
        <w:rPr>
          <w:b/>
          <w:bCs/>
        </w:rPr>
        <w:t xml:space="preserve">Separation of Primary and Alternate Providers</w:t>
      </w:r>
      <w:r>
        <w:t xml:space="preserve">, genuinely closed by buying</w:t>
      </w:r>
      <w:r>
        <w:t xml:space="preserve"> </w:t>
      </w:r>
      <w:r>
        <w:t xml:space="preserve">dissimilar transports from independent providers over independent paths.</w:t>
      </w:r>
      <w:r>
        <w:t xml:space="preserve"> </w:t>
      </w:r>
      <w:r>
        <w:t xml:space="preserve">The other two enhancements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satisfied by the transport menu</w:t>
      </w:r>
      <w:r>
        <w:t xml:space="preserve"> </w:t>
      </w:r>
      <w:r>
        <w:t xml:space="preserve">itself:</w:t>
      </w:r>
      <w:r>
        <w:t xml:space="preserve"> </w:t>
      </w:r>
      <w:r>
        <w:rPr>
          <w:b/>
          <w:bCs/>
        </w:rPr>
        <w:t xml:space="preserve">CP-8(1) Priority of Service Provisions</w:t>
      </w:r>
      <w:r>
        <w:t xml:space="preserve"> </w:t>
      </w:r>
      <w:r>
        <w:t xml:space="preserve">is a contractual</w:t>
      </w:r>
      <w:r>
        <w:t xml:space="preserve"> </w:t>
      </w:r>
      <w:r>
        <w:t xml:space="preserve">Telecommunications Service Priority (TSP) / NS-EP artifact that must be</w:t>
      </w:r>
      <w:r>
        <w:t xml:space="preserve"> </w:t>
      </w:r>
      <w:r>
        <w:t xml:space="preserve">written into the acquisition vehicle, not a byproduct of owning diverse</w:t>
      </w:r>
      <w:r>
        <w:t xml:space="preserve"> </w:t>
      </w:r>
      <w:r>
        <w:t xml:space="preserve">transports, and</w:t>
      </w:r>
      <w:r>
        <w:t xml:space="preserve"> </w:t>
      </w:r>
      <w:r>
        <w:rPr>
          <w:b/>
          <w:bCs/>
        </w:rPr>
        <w:t xml:space="preserve">CP-8(4) Provider Contingency Plan</w:t>
      </w:r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provider’s own</w:t>
      </w:r>
      <w:r>
        <w:t xml:space="preserve"> </w:t>
      </w:r>
      <w:r>
        <w:t xml:space="preserve">documented contingency plan, not the buyer’s diversity</w:t>
      </w:r>
      <w:r>
        <w:t xml:space="preserve"> </w:t>
      </w:r>
      <w:r>
        <w:t xml:space="preserve">choice — both route to the acquisition discussion in Part 8. No overlay</w:t>
      </w:r>
      <w:r>
        <w:t xml:space="preserve"> </w:t>
      </w:r>
      <w:r>
        <w:t xml:space="preserve">closes CP-8; provider and path diversity closes CP-8(2) and CP-8(3). That</w:t>
      </w:r>
      <w:r>
        <w:t xml:space="preserve"> </w:t>
      </w:r>
      <w:r>
        <w:t xml:space="preserve">is the compliance statement of this Part’s punchline — four dissimilar</w:t>
      </w:r>
      <w:r>
        <w:t xml:space="preserve"> </w:t>
      </w:r>
      <w:r>
        <w:t xml:space="preserve">pipes are not a convenience, they are the CP-8(2)/CP-8(3) closure — and it</w:t>
      </w:r>
      <w:r>
        <w:t xml:space="preserve"> </w:t>
      </w:r>
      <w:r>
        <w:t xml:space="preserve">is why the table above is a shopping list rather than a beauty contest.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ansport-menu"/>
          <w:p>
            <w:pPr>
              <w:pStyle w:val="Compact"/>
              <w:jc w:val="center"/>
            </w:pPr>
            <w:r>
              <w:drawing>
                <ns1:inline>
                  <ns1:extent cx="5334000" cy="3276600"/>
                  <ns1:effectExtent b="0" l="0" r="0" t="0"/>
                  <ns1:docPr descr="" title="" id="31" name="Picture"/>
                  <ns2:graphic>
                    <ns2:graphicData uri="http://schemas.openxmlformats.org/drawingml/2006/picture">
                      <ns3:pic>
                        <ns3:nvPicPr>
                          <ns3:cNvPr descr="images/tic3-sdwan-vs-dia-diagram-01-transport-menu.svg" id="32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>
                            <ns2:extLst>
                              <ns2:ext uri="{28A0092B-C50C-407E-A947-70E740481C1C}">
                                <ns7:useLocalDpi val="0"/>
                              </ns2:ext>
                              <ns2:ext uri="{96DAC541-7B7A-43D3-8B79-37D633B846F1}">
                                <ns8:svgBlip r:embed="rId30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2766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transport menu — four pipes compared on physics; the protection controls come from the stack, the diversity closes CP-8</w:t>
            </w:r>
          </w:p>
          <w:bookmarkEnd w:id="33"/>
        </w:tc>
      </w:tr>
    </w:tbl>
    <w:p>
      <w:pPr>
        <w:pStyle w:val="BodyText"/>
      </w:pPr>
      <w:r>
        <w:t xml:space="preserve">Three of these deserve a word beyond the table:</w:t>
      </w:r>
    </w:p>
    <w:p>
      <w:pPr>
        <w:pStyle w:val="BodyText"/>
      </w:pPr>
      <w:r>
        <w:rPr>
          <w:b/>
          <w:bCs/>
        </w:rPr>
        <w:t xml:space="preserve">LEO is not the satellite you rejected.</w:t>
      </w:r>
      <w:r>
        <w:t xml:space="preserve"> </w:t>
      </w:r>
      <w:r>
        <w:t xml:space="preserve">The satellite ruling most federal</w:t>
      </w:r>
      <w:r>
        <w:t xml:space="preserve"> </w:t>
      </w:r>
      <w:r>
        <w:t xml:space="preserve">IT professionals carry — unusable latency — was earned by geostationary</w:t>
      </w:r>
      <w:r>
        <w:t xml:space="preserve"> </w:t>
      </w:r>
      <w:r>
        <w:t xml:space="preserve">birds parked at 35,786 km, where physics charges roughly 238 ms one-way</w:t>
      </w:r>
      <w:r>
        <w:t xml:space="preserve"> </w:t>
      </w:r>
      <w:r>
        <w:t xml:space="preserve">before anything else happens. Low Earth Orbit constellations at ~550 km</w:t>
      </w:r>
      <w:r>
        <w:t xml:space="preserve"> </w:t>
      </w:r>
      <w:r>
        <w:t xml:space="preserve">change the geometry entirely, and vacuum propagation beats glass by half</w:t>
      </w:r>
      <w:r>
        <w:t xml:space="preserve"> </w:t>
      </w:r>
      <w:r>
        <w:t xml:space="preserve">again per kilometer: for long-haul paths, the sky can be</w:t>
      </w:r>
      <w:r>
        <w:t xml:space="preserve"> </w:t>
      </w:r>
      <w:r>
        <w:rPr>
          <w:i/>
          <w:iCs/>
        </w:rPr>
        <w:t xml:space="preserve">faster</w:t>
      </w:r>
      <w:r>
        <w:t xml:space="preserve"> </w:t>
      </w:r>
      <w:r>
        <w:t xml:space="preserve">than the</w:t>
      </w:r>
      <w:r>
        <w:t xml:space="preserve"> </w:t>
      </w:r>
      <w:r>
        <w:t xml:space="preserve">ground. Practical round-trip latency of 20–40 ms puts LEO in the same</w:t>
      </w:r>
      <w:r>
        <w:t xml:space="preserve"> </w:t>
      </w:r>
      <w:r>
        <w:t xml:space="preserve">competitive range as broadband DIA — a real transport, not a last resort.</w:t>
      </w:r>
    </w:p>
    <w:p>
      <w:pPr>
        <w:pStyle w:val="BodyText"/>
      </w:pPr>
      <w:r>
        <w:rPr>
          <w:b/>
          <w:bCs/>
        </w:rPr>
        <w:t xml:space="preserve">5G is an architecture story, not just a radio story.</w:t>
      </w:r>
      <w:r>
        <w:t xml:space="preserve"> </w:t>
      </w:r>
      <w:r>
        <w:t xml:space="preserve">The radio mechanism</w:t>
      </w:r>
      <w:r>
        <w:t xml:space="preserve"> </w:t>
      </w:r>
      <w:r>
        <w:t xml:space="preserve">is real — 0.5 ms slot duration at mid-band 30 kHz numerology, 0.125 ms at</w:t>
      </w:r>
      <w:r>
        <w:t xml:space="preserve"> </w:t>
      </w:r>
      <w:r>
        <w:t xml:space="preserve">mmWave, versus 1 ms in LTE — but the federally interesting mechanism is</w:t>
      </w:r>
      <w:r>
        <w:t xml:space="preserve"> </w:t>
      </w:r>
      <w:r>
        <w:rPr>
          <w:b/>
          <w:bCs/>
        </w:rPr>
        <w:t xml:space="preserve">Control and User Plane Separation (CUPS)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Multi-access Edge</w:t>
      </w:r>
      <w:r>
        <w:rPr>
          <w:b/>
          <w:bCs/>
        </w:rPr>
        <w:t xml:space="preserve"> </w:t>
      </w:r>
      <w:r>
        <w:rPr>
          <w:b/>
          <w:bCs/>
        </w:rPr>
        <w:t xml:space="preserve">Computing (MEC)</w:t>
      </w:r>
      <w:r>
        <w:t xml:space="preserve">: user-plane traffic can break out of the carrier network</w:t>
      </w:r>
      <w:r>
        <w:t xml:space="preserve"> </w:t>
      </w:r>
      <w:r>
        <w:t xml:space="preserve">at or near the tower instead of backhauling to a central core. For rural</w:t>
      </w:r>
      <w:r>
        <w:t xml:space="preserve"> </w:t>
      </w:r>
      <w:r>
        <w:t xml:space="preserve">field offices with thin broadband markets, 5G local breakout is often the</w:t>
      </w:r>
      <w:r>
        <w:t xml:space="preserve"> </w:t>
      </w:r>
      <w:r>
        <w:t xml:space="preserve">best-performing DIA on the menu.</w:t>
      </w:r>
    </w:p>
    <w:p>
      <w:pPr>
        <w:pStyle w:val="BodyText"/>
      </w:pPr>
      <w:r>
        <w:rPr>
          <w:b/>
          <w:bCs/>
        </w:rPr>
        <w:t xml:space="preserve">6G will extend the menu, not the doctrine.</w:t>
      </w:r>
      <w:r>
        <w:t xml:space="preserve"> </w:t>
      </w:r>
      <w:r>
        <w:t xml:space="preserve">As of this writing, 6G is</w:t>
      </w:r>
      <w:r>
        <w:t xml:space="preserve"> </w:t>
      </w:r>
      <w:r>
        <w:t xml:space="preserve">roadmap, not product: ITU-R’s IMT-2030 framework defines the target usage</w:t>
      </w:r>
      <w:r>
        <w:t xml:space="preserve"> </w:t>
      </w:r>
      <w:r>
        <w:t xml:space="preserve">scenarios, 3GPP’s study work aims at first 6G specifications in the</w:t>
      </w:r>
      <w:r>
        <w:t xml:space="preserve"> </w:t>
      </w:r>
      <w:r>
        <w:t xml:space="preserve">Release 21 timeframe, and commercial deployment expectations cluster around</w:t>
      </w:r>
      <w:r>
        <w:t xml:space="preserve"> </w:t>
      </w:r>
      <w:r>
        <w:t xml:space="preserve">2030. Two roadmap directions matter for this paper’s argument. First,</w:t>
      </w:r>
      <w:r>
        <w:t xml:space="preserve"> </w:t>
      </w:r>
      <w:r>
        <w:t xml:space="preserve">native</w:t>
      </w:r>
      <w:r>
        <w:t xml:space="preserve"> </w:t>
      </w:r>
      <w:r>
        <w:rPr>
          <w:b/>
          <w:bCs/>
        </w:rPr>
        <w:t xml:space="preserve">non-terrestrial network (NTN) integration</w:t>
      </w:r>
      <w:r>
        <w:t xml:space="preserve"> </w:t>
      </w:r>
      <w:r>
        <w:t xml:space="preserve">— satellite and</w:t>
      </w:r>
      <w:r>
        <w:t xml:space="preserve"> </w:t>
      </w:r>
      <w:r>
        <w:t xml:space="preserve">terrestrial radio as one standardized fabric — will blur the LEO/cellular</w:t>
      </w:r>
      <w:r>
        <w:t xml:space="preserve"> </w:t>
      </w:r>
      <w:r>
        <w:t xml:space="preserve">row boundary in the table above. Second, sub-millisecond air-interface</w:t>
      </w:r>
      <w:r>
        <w:t xml:space="preserve"> </w:t>
      </w:r>
      <w:r>
        <w:t xml:space="preserve">targets do not repeal propagation physics: the speed of light in glass and</w:t>
      </w:r>
      <w:r>
        <w:t xml:space="preserve"> </w:t>
      </w:r>
      <w:r>
        <w:t xml:space="preserve">vacuum still sets the floor for any path long enough to matter. Whatever</w:t>
      </w:r>
      <w:r>
        <w:t xml:space="preserve"> </w:t>
      </w:r>
      <w:r>
        <w:t xml:space="preserve">pipe 6G delivers, it arrives as exactly that — a pipe — and the overlay</w:t>
      </w:r>
      <w:r>
        <w:t xml:space="preserve"> </w:t>
      </w:r>
      <w:r>
        <w:t xml:space="preserve">absorbs it the way it absorbed the last four transports, as one more path</w:t>
      </w:r>
      <w:r>
        <w:t xml:space="preserve"> </w:t>
      </w:r>
      <w:r>
        <w:t xml:space="preserve">to probe, measure, encrypt, and steer. An agency whose compliance</w:t>
      </w:r>
      <w:r>
        <w:t xml:space="preserve"> </w:t>
      </w:r>
      <w:r>
        <w:t xml:space="preserve">architecture is transport-agnostic today does not re-architect for 6G; an</w:t>
      </w:r>
      <w:r>
        <w:t xml:space="preserve"> </w:t>
      </w:r>
      <w:r>
        <w:t xml:space="preserve">agency whose compliance story is welded to one transport does.</w:t>
      </w:r>
    </w:p>
    <w:p>
      <w:pPr>
        <w:pStyle w:val="BodyText"/>
      </w:pPr>
      <w:r>
        <w:t xml:space="preserve">The punchline of the menu:</w:t>
      </w:r>
      <w:r>
        <w:t xml:space="preserve"> </w:t>
      </w:r>
      <w:r>
        <w:rPr>
          <w:b/>
          <w:bCs/>
        </w:rPr>
        <w:t xml:space="preserve">transport diversity is a reason for the</w:t>
      </w:r>
      <w:r>
        <w:rPr>
          <w:b/>
          <w:bCs/>
        </w:rPr>
        <w:t xml:space="preserve"> </w:t>
      </w:r>
      <w:r>
        <w:rPr>
          <w:b/>
          <w:bCs/>
        </w:rPr>
        <w:t xml:space="preserve">overlay, not a substitute for it — and it is the CP-8 closure.</w:t>
      </w:r>
      <w:r>
        <w:t xml:space="preserve"> </w:t>
      </w:r>
      <w:r>
        <w:t xml:space="preserve">Four pipes</w:t>
      </w:r>
      <w:r>
        <w:t xml:space="preserve"> </w:t>
      </w:r>
      <w:r>
        <w:t xml:space="preserve">with different failure modes, different loss profiles, and different</w:t>
      </w:r>
      <w:r>
        <w:t xml:space="preserve"> </w:t>
      </w:r>
      <w:r>
        <w:t xml:space="preserve">best-use windows are an availability asset and a compliance closure only if</w:t>
      </w:r>
      <w:r>
        <w:t xml:space="preserve"> </w:t>
      </w:r>
      <w:r>
        <w:t xml:space="preserve">something measures all four continuously and steers per-application — and a</w:t>
      </w:r>
      <w:r>
        <w:t xml:space="preserve"> </w:t>
      </w:r>
      <w:r>
        <w:t xml:space="preserve">liability if a human is expected to do it with static routes.</w:t>
      </w:r>
    </w:p>
    <w:p>
      <w:r>
        <w:pict>
          <ns5:rect style="width:0;height:1.5pt" ns6:hralign="center" ns6:hrstd="t" ns6:hr="t"/>
        </w:pict>
      </w:r>
    </w:p>
    <w:bookmarkEnd w:id="34"/>
    <w:bookmarkStart w:id="51" w:name="X17d4ee4dd4006c2d825aff5e0cdfb8b890b8843"/>
    <w:p>
      <w:pPr>
        <w:pStyle w:val="Heading2"/>
      </w:pPr>
      <w:r>
        <w:t xml:space="preserve">Part 4 — TIC 3.0: The Policy That Makes DIA Lawful</w:t>
      </w:r>
    </w:p>
    <w:p>
      <w:pPr>
        <w:pStyle w:val="FirstParagraph"/>
      </w:pPr>
      <w:r>
        <w:t xml:space="preserve">The Trusted Internet Connections program began as consolidation: force</w:t>
      </w:r>
      <w:r>
        <w:t xml:space="preserve"> </w:t>
      </w:r>
      <w:r>
        <w:t xml:space="preserve">agency traffic through a small number of heavily instrumented TIC access</w:t>
      </w:r>
      <w:r>
        <w:t xml:space="preserve"> </w:t>
      </w:r>
      <w:r>
        <w:t xml:space="preserve">points. That architecture is precisely the geographic hairpin Part 2</w:t>
      </w:r>
      <w:r>
        <w:t xml:space="preserve"> </w:t>
      </w:r>
      <w:r>
        <w:t xml:space="preserve">condemned — the compliance design and the latency pathology were the same</w:t>
      </w:r>
      <w:r>
        <w:t xml:space="preserve"> </w:t>
      </w:r>
      <w:r>
        <w:t xml:space="preserve">design.</w:t>
      </w:r>
    </w:p>
    <w:p>
      <w:pPr>
        <w:pStyle w:val="BodyText"/>
      </w:pPr>
      <w:r>
        <w:rPr>
          <w:b/>
          <w:bCs/>
        </w:rPr>
        <w:t xml:space="preserve">OMB M-19-26</w:t>
      </w:r>
      <w:r>
        <w:t xml:space="preserve"> </w:t>
      </w:r>
      <w:r>
        <w:t xml:space="preserve">and CISA’s</w:t>
      </w:r>
      <w:r>
        <w:t xml:space="preserve"> </w:t>
      </w:r>
      <w:r>
        <w:rPr>
          <w:b/>
          <w:bCs/>
        </w:rPr>
        <w:t xml:space="preserve">TIC 3.0</w:t>
      </w:r>
      <w:r>
        <w:t xml:space="preserve"> </w:t>
      </w:r>
      <w:r>
        <w:t xml:space="preserve">guidance replaced mandatory</w:t>
      </w:r>
      <w:r>
        <w:t xml:space="preserve"> </w:t>
      </w:r>
      <w:r>
        <w:t xml:space="preserve">consolidation with a use-case model. Two use cases govern the field-office</w:t>
      </w:r>
      <w:r>
        <w:t xml:space="preserve"> </w:t>
      </w:r>
      <w:r>
        <w:t xml:space="preserve">patterns in this paper, as</w:t>
      </w:r>
      <w:r>
        <w:t xml:space="preserve"> </w:t>
      </w:r>
      <w:hyperlink r:id="rId35">
        <w:r>
          <w:rPr>
            <w:rStyle w:val="Hyperlink"/>
          </w:rPr>
          <w:t xml:space="preserve">Vol I Book 06</w:t>
        </w:r>
      </w:hyperlink>
      <w:r>
        <w:t xml:space="preserve"> </w:t>
      </w:r>
      <w:r>
        <w:t xml:space="preserve">lays out for agency voice: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Branch Office</w:t>
      </w:r>
      <w:r>
        <w:t xml:space="preserve">: field-office traffic egresses locally over DIA, with</w:t>
      </w:r>
      <w:r>
        <w:t xml:space="preserve"> </w:t>
      </w:r>
      <w:r>
        <w:t xml:space="preserve">the policy enforcement point (PEP) at or near the branch egress — the</w:t>
      </w:r>
      <w:r>
        <w:t xml:space="preserve"> </w:t>
      </w:r>
      <w:r>
        <w:t xml:space="preserve">SD-WAN edge plus SASE services.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Remote User</w:t>
      </w:r>
      <w:r>
        <w:t xml:space="preserve">: teleworker traffic reaches cloud platforms from home</w:t>
      </w:r>
      <w:r>
        <w:t xml:space="preserve"> </w:t>
      </w:r>
      <w:r>
        <w:t xml:space="preserve">networks, with the cloud-delivered SASE PoP as the PEP and ZTNA replacing</w:t>
      </w:r>
      <w:r>
        <w:t xml:space="preserve"> </w:t>
      </w:r>
      <w:r>
        <w:t xml:space="preserve">VPN.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tic3-pep"/>
          <w:p>
            <w:pPr>
              <w:pStyle w:val="Compact"/>
              <w:jc w:val="center"/>
            </w:pPr>
            <w:r>
              <w:drawing>
                <ns1:inline>
                  <ns1:extent cx="5334000" cy="3429317"/>
                  <ns1:effectExtent b="0" l="0" r="0" t="0"/>
                  <ns1:docPr descr="" title="" id="37" name="Picture"/>
                  <ns2:graphic>
                    <ns2:graphicData uri="http://schemas.openxmlformats.org/drawingml/2006/picture">
                      <ns3:pic>
                        <ns3:nvPicPr>
                          <ns3:cNvPr descr="../orgcomp-series/figs/tc-fig-17-tic3-pep.png" id="38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36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429317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TIC 3.0: the two use cases governing the field-office path and the permissibility rule</w:t>
            </w:r>
          </w:p>
          <w:bookmarkEnd w:id="39"/>
        </w:tc>
      </w:tr>
    </w:tbl>
    <w:p>
      <w:pPr>
        <w:pStyle w:val="BodyText"/>
      </w:pPr>
      <w:r>
        <w:t xml:space="preserve">The permissibility rule is the entire point:</w:t>
      </w:r>
      <w:r>
        <w:t xml:space="preserve"> </w:t>
      </w:r>
      <w:r>
        <w:rPr>
          <w:b/>
          <w:bCs/>
        </w:rPr>
        <w:t xml:space="preserve">both use cases permit traffic</w:t>
      </w:r>
      <w:r>
        <w:rPr>
          <w:b/>
          <w:bCs/>
        </w:rPr>
        <w:t xml:space="preserve"> </w:t>
      </w:r>
      <w:r>
        <w:rPr>
          <w:b/>
          <w:bCs/>
        </w:rPr>
        <w:t xml:space="preserve">to leave without hairpinning through a TIC access point, and neither permits</w:t>
      </w:r>
      <w:r>
        <w:rPr>
          <w:b/>
          <w:bCs/>
        </w:rPr>
        <w:t xml:space="preserve"> </w:t>
      </w:r>
      <w:r>
        <w:rPr>
          <w:b/>
          <w:bCs/>
        </w:rPr>
        <w:t xml:space="preserve">it to leave ungoverned.</w:t>
      </w:r>
      <w:r>
        <w:t xml:space="preserve"> </w:t>
      </w:r>
      <w:r>
        <w:t xml:space="preserve">The applicable entries of the TIC security</w:t>
      </w:r>
      <w:r>
        <w:t xml:space="preserve"> </w:t>
      </w:r>
      <w:r>
        <w:t xml:space="preserve">capabilities catalog must be satisfied at the distributed PEP,</w:t>
      </w:r>
      <w:r>
        <w:t xml:space="preserve"> </w:t>
      </w:r>
      <w:r>
        <w:t xml:space="preserve">commensurate with the agency’s risk tolerance. TIC 3.0 never asks</w:t>
      </w:r>
      <w:r>
        <w:t xml:space="preserve"> </w:t>
      </w:r>
      <w:r>
        <w:t xml:space="preserve">“SD-WAN</w:t>
      </w:r>
      <w:r>
        <w:t xml:space="preserve"> </w:t>
      </w:r>
      <w:r>
        <w:t xml:space="preserve">or DIA?”</w:t>
      </w:r>
      <w:r>
        <w:t xml:space="preserve"> </w:t>
      </w:r>
      <w:r>
        <w:t xml:space="preserve">— it asks</w:t>
      </w:r>
      <w:r>
        <w:t xml:space="preserve"> </w:t>
      </w:r>
      <w:r>
        <w:t xml:space="preserve">“where is the PEP on this DIA circuit, and which catalog</w:t>
      </w:r>
      <w:r>
        <w:t xml:space="preserve"> </w:t>
      </w:r>
      <w:r>
        <w:t xml:space="preserve">capabilities does it satisfy?”</w:t>
      </w:r>
      <w:r>
        <w:t xml:space="preserve"> </w:t>
      </w:r>
      <w:r>
        <w:t xml:space="preserve">An agency that cannot answer has not</w:t>
      </w:r>
      <w:r>
        <w:t xml:space="preserve"> </w:t>
      </w:r>
      <w:r>
        <w:t xml:space="preserve">modernized; it has opened a finding.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4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4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Does an agency need SD-WAN to meet SASE and Zero Trust?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No. The two use cases above answer this directly:</w:t>
            </w:r>
            <w:r>
              <w:t xml:space="preserve"> </w:t>
            </w:r>
            <w:r>
              <w:rPr>
                <w:b/>
                <w:bCs/>
              </w:rPr>
              <w:t xml:space="preserve">Remote User</w:t>
            </w:r>
            <w:r>
              <w:t xml:space="preserve"> </w:t>
            </w:r>
            <w:r>
              <w:t xml:space="preserve">traffic</w:t>
            </w:r>
            <w:r>
              <w:t xml:space="preserve"> </w:t>
            </w:r>
            <w:r>
              <w:t xml:space="preserve">reaches Zero Trust posture with zero SD-WAN in the path — a cloud-delivered</w:t>
            </w:r>
            <w:r>
              <w:t xml:space="preserve"> </w:t>
            </w:r>
            <w:r>
              <w:t xml:space="preserve">SASE PoP as the PEP, ZTNA replacing VPN, done. SD-WAN is not a prerequisite</w:t>
            </w:r>
            <w:r>
              <w:t xml:space="preserve"> </w:t>
            </w:r>
            <w:r>
              <w:t xml:space="preserve">for SASE or for Zero Trust; it is the transport-governance layer this</w:t>
            </w:r>
            <w:r>
              <w:t xml:space="preserve"> </w:t>
            </w:r>
            <w:r>
              <w:t xml:space="preserve">paper’s own title names, and it earns its place for one reason only:</w:t>
            </w:r>
            <w:r>
              <w:t xml:space="preserve"> </w:t>
            </w:r>
            <w:r>
              <w:rPr>
                <w:b/>
                <w:bCs/>
              </w:rPr>
              <w:t xml:space="preserve">Branch Office</w:t>
            </w:r>
            <w:r>
              <w:t xml:space="preserve"> </w:t>
            </w:r>
            <w:r>
              <w:t xml:space="preserve">continuity. A branch’s traffic is high-value, often</w:t>
            </w:r>
            <w:r>
              <w:t xml:space="preserve"> </w:t>
            </w:r>
            <w:r>
              <w:t xml:space="preserve">latency-sensitive, and typically spans multiple circuits at once — SD-WAN</w:t>
            </w:r>
            <w:r>
              <w:t xml:space="preserve"> </w:t>
            </w:r>
            <w:r>
              <w:t xml:space="preserve">adds circuit-wide encryption (SC-8), active-active multipath, and per-class</w:t>
            </w:r>
            <w:r>
              <w:t xml:space="preserve"> </w:t>
            </w:r>
            <w:r>
              <w:t xml:space="preserve">steering that a single teleworker’s cloud-PoP path doesn’t need and a</w:t>
            </w:r>
            <w:r>
              <w:t xml:space="preserve"> </w:t>
            </w:r>
            <w:r>
              <w:t xml:space="preserve">single-circuit branch can’t get any other way. Skip SD-WAN and stay</w:t>
            </w:r>
            <w:r>
              <w:t xml:space="preserve"> </w:t>
            </w:r>
            <w:r>
              <w:t xml:space="preserve">Zero-Trust-compliant if there is no branch circuit to govern; add it back</w:t>
            </w:r>
            <w:r>
              <w:t xml:space="preserve"> </w:t>
            </w:r>
            <w:r>
              <w:t xml:space="preserve">the moment there is one, because that is the specific workload it solves.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CISA’s own June 2026 guidance,</w:t>
            </w:r>
            <w:r>
              <w:t xml:space="preserve"> </w:t>
            </w:r>
            <w:hyperlink r:id="rId42">
              <w:r>
                <w:rPr>
                  <w:rStyle w:val="Hyperlink"/>
                  <w:i/>
                  <w:iCs/>
                </w:rPr>
                <w:t xml:space="preserve">The Journey to Zero Trust: Using SASE in a</w:t>
              </w:r>
              <w:r>
                <w:rPr>
                  <w:rStyle w:val="Hyperlink"/>
                  <w:i/>
                  <w:iCs/>
                </w:rPr>
                <w:t xml:space="preserve"> </w:t>
              </w:r>
              <w:r>
                <w:rPr>
                  <w:rStyle w:val="Hyperlink"/>
                  <w:i/>
                  <w:iCs/>
                </w:rPr>
                <w:t xml:space="preserve">Modern TIC 3.0</w:t>
              </w:r>
              <w:r>
                <w:rPr>
                  <w:rStyle w:val="Hyperlink"/>
                  <w:i/>
                  <w:iCs/>
                </w:rPr>
                <w:t xml:space="preserve"> </w:t>
              </w:r>
              <w:r>
                <w:rPr>
                  <w:rStyle w:val="Hyperlink"/>
                  <w:i/>
                  <w:iCs/>
                </w:rPr>
                <w:t xml:space="preserve">Solution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makes the same point from the other direction: it positions</w:t>
            </w:r>
            <w:r>
              <w:t xml:space="preserve"> </w:t>
            </w:r>
            <w:r>
              <w:rPr>
                <w:b/>
                <w:bCs/>
              </w:rPr>
              <w:t xml:space="preserve">SASE</w:t>
            </w:r>
            <w:r>
              <w:t xml:space="preserve"> </w:t>
            </w:r>
            <w:r>
              <w:t xml:space="preserve">as the</w:t>
            </w:r>
            <w:r>
              <w:t xml:space="preserve"> </w:t>
            </w:r>
            <w:r>
              <w:t xml:space="preserve">piece that operationalizes Zero Trust for distributed federal traffic; SD-WAN</w:t>
            </w:r>
            <w:r>
              <w:t xml:space="preserve"> </w:t>
            </w:r>
            <w:r>
              <w:t xml:space="preserve">does not appear in that framing at all, because CISA is describing the</w:t>
            </w:r>
            <w:r>
              <w:t xml:space="preserve"> </w:t>
            </w:r>
            <w:r>
              <w:t xml:space="preserve">access-and-enforcement layer, not the branch-transport layer underneath it.</w:t>
            </w:r>
          </w:p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with-without-sdwan"/>
          <w:p>
            <w:pPr>
              <w:pStyle w:val="Compact"/>
              <w:jc w:val="center"/>
            </w:pPr>
            <w:r>
              <w:drawing>
                <ns1:inline>
                  <ns1:extent cx="5334000" cy="3429317"/>
                  <ns1:effectExtent b="0" l="0" r="0" t="0"/>
                  <ns1:docPr descr="" title="" id="44" name="Picture"/>
                  <ns2:graphic>
                    <ns2:graphicData uri="http://schemas.openxmlformats.org/drawingml/2006/picture">
                      <ns3:pic>
                        <ns3:nvPicPr>
                          <ns3:cNvPr descr="images/tic3-sdwan-vs-dia-diagram-03-with-without-sdwan.png" id="45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43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429317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Two paths to the same TIC 3.0 Zero Trust posture — SD-WAN required for Branch Office, not for Remote User</w:t>
            </w:r>
          </w:p>
          <w:bookmarkEnd w:id="46"/>
        </w:tc>
      </w:tr>
    </w:tbl>
    <w:bookmarkStart w:id="47" w:name="X49dffaf8d65d2374b52c07bc9c3704ee0afa7b2"/>
    <w:p>
      <w:pPr>
        <w:pStyle w:val="Heading3"/>
      </w:pPr>
      <w:r>
        <w:t xml:space="preserve">4.1 Can Branch Office reach this without SD-WAN?</w:t>
      </w:r>
    </w:p>
    <w:p>
      <w:pPr>
        <w:pStyle w:val="FirstParagraph"/>
      </w:pPr>
      <w:r>
        <w:t xml:space="preserve">Sometimes — with real caveats, not a blanket yes. Part 5 breaks the closure</w:t>
      </w:r>
      <w:r>
        <w:t xml:space="preserve"> </w:t>
      </w:r>
      <w:r>
        <w:t xml:space="preserve">into four pieces: SC-8 circuit-wide encryption, SC-6 traffic-class</w:t>
      </w:r>
      <w:r>
        <w:t xml:space="preserve"> </w:t>
      </w:r>
      <w:r>
        <w:t xml:space="preserve">separation, SI-4/AU-12 application-layer path telemetry, and active-active</w:t>
      </w:r>
      <w:r>
        <w:t xml:space="preserve"> </w:t>
      </w:r>
      <w:r>
        <w:t xml:space="preserve">multipath as the availability property behind all three. Each piece can, in</w:t>
      </w:r>
      <w:r>
        <w:t xml:space="preserve"> </w:t>
      </w:r>
      <w:r>
        <w:t xml:space="preserve">principle, be closed by something other than a dedicated SD-WAN product —</w:t>
      </w:r>
      <w:r>
        <w:t xml:space="preserve"> </w:t>
      </w:r>
      <w:r>
        <w:t xml:space="preserve">but not all of them survive the substitution equally well.</w:t>
      </w:r>
    </w:p>
    <w:p>
      <w:pPr>
        <w:pStyle w:val="BodyText"/>
      </w:pPr>
      <w:r>
        <w:rPr>
          <w:b/>
          <w:bCs/>
        </w:rPr>
        <w:t xml:space="preserve">The terminology matters here.</w:t>
      </w:r>
      <w:r>
        <w:t xml:space="preserve"> </w:t>
      </w:r>
      <w:r>
        <w:t xml:space="preserve">Gartner’s original 2019 definition of SASE</w:t>
      </w:r>
      <w:r>
        <w:t xml:space="preserve"> </w:t>
      </w:r>
      <w:r>
        <w:t xml:space="preserve">already bundles SD-WAN in as one of its converged components — SASE is</w:t>
      </w:r>
      <w:r>
        <w:t xml:space="preserve"> </w:t>
      </w:r>
      <w:r>
        <w:t xml:space="preserve">SD-WAN plus the SSE stack (SWG, CASB, ZTNA, FWaaS/NGFW) delivered from the</w:t>
      </w:r>
      <w:r>
        <w:t xml:space="preserve"> </w:t>
      </w:r>
      <w:r>
        <w:t xml:space="preserve">cloud as one service. When this paper (or the industry generally) talks</w:t>
      </w:r>
      <w:r>
        <w:t xml:space="preserve"> </w:t>
      </w:r>
      <w:r>
        <w:t xml:space="preserve">about</w:t>
      </w:r>
      <w:r>
        <w:t xml:space="preserve"> </w:t>
      </w:r>
      <w:r>
        <w:t xml:space="preserve">“SASE without SD-WAN,”</w:t>
      </w:r>
      <w:r>
        <w:t xml:space="preserve"> </w:t>
      </w:r>
      <w:r>
        <w:t xml:space="preserve">what is actually being described is</w:t>
      </w:r>
      <w:r>
        <w:t xml:space="preserve"> </w:t>
      </w:r>
      <w:r>
        <w:rPr>
          <w:b/>
          <w:bCs/>
        </w:rPr>
        <w:t xml:space="preserve">SSE</w:t>
      </w:r>
      <w:r>
        <w:t xml:space="preserve"> </w:t>
      </w:r>
      <w:r>
        <w:t xml:space="preserve">—</w:t>
      </w:r>
      <w:r>
        <w:t xml:space="preserve"> </w:t>
      </w:r>
      <w:r>
        <w:t xml:space="preserve">Gartner’s own name for the security-only subset of SASE with the WAN-edge /</w:t>
      </w:r>
      <w:r>
        <w:t xml:space="preserve"> </w:t>
      </w:r>
      <w:r>
        <w:t xml:space="preserve">transport-governance component removed. A Branch Office that skips SD-WAN</w:t>
      </w:r>
      <w:r>
        <w:t xml:space="preserve"> </w:t>
      </w:r>
      <w:r>
        <w:t xml:space="preserve">is, by definition, running SSE plus</w:t>
      </w:r>
      <w:r>
        <w:t xml:space="preserve"> </w:t>
      </w:r>
      <w:r>
        <w:rPr>
          <w:i/>
          <w:iCs/>
        </w:rPr>
        <w:t xml:space="preserve">something else</w:t>
      </w:r>
      <w:r>
        <w:t xml:space="preserve"> </w:t>
      </w:r>
      <w:r>
        <w:t xml:space="preserve">for the transport leg</w:t>
      </w:r>
      <w:r>
        <w:t xml:space="preserve"> </w:t>
      </w:r>
      <w:r>
        <w:t xml:space="preserve">— not a variant of SASE that happens to lack a component.</w:t>
      </w:r>
    </w:p>
    <w:p>
      <w:pPr>
        <w:pStyle w:val="BodyText"/>
      </w:pPr>
      <w:r>
        <w:t xml:space="preserve">Two scenarios where that something-else genuinely does not need to be a</w:t>
      </w:r>
      <w:r>
        <w:t xml:space="preserve"> </w:t>
      </w:r>
      <w:r>
        <w:t xml:space="preserve">standalone SD-WAN product: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Single-circuit branch — the multipath closure is moot by</w:t>
      </w:r>
      <w:r>
        <w:rPr>
          <w:b/>
          <w:bCs/>
        </w:rPr>
        <w:t xml:space="preserve"> </w:t>
      </w:r>
      <w:r>
        <w:rPr>
          <w:b/>
          <w:bCs/>
        </w:rPr>
        <w:t xml:space="preserve">construction.</w:t>
      </w:r>
      <w:r>
        <w:t xml:space="preserve"> </w:t>
      </w:r>
      <w:r>
        <w:t xml:space="preserve">SD-WAN’s signature capability, active-active steering</w:t>
      </w:r>
      <w:r>
        <w:t xml:space="preserve"> </w:t>
      </w:r>
      <w:r>
        <w:t xml:space="preserve">across paths, has nothing to steer across when there is exactly one</w:t>
      </w:r>
      <w:r>
        <w:t xml:space="preserve"> </w:t>
      </w:r>
      <w:r>
        <w:t xml:space="preserve">circuit. A single-circuit branch can satisfy SC-8 with a plain IPsec or</w:t>
      </w:r>
      <w:r>
        <w:t xml:space="preserve"> </w:t>
      </w:r>
      <w:r>
        <w:t xml:space="preserve">GRE tunnel from the branch router into the SASE PoP, with the SSE stack</w:t>
      </w:r>
      <w:r>
        <w:t xml:space="preserve"> </w:t>
      </w:r>
      <w:r>
        <w:t xml:space="preserve">covering SC-7, AC-4, SI-3, and CA-7 as it would for any site. What this</w:t>
      </w:r>
      <w:r>
        <w:t xml:space="preserve"> </w:t>
      </w:r>
      <w:r>
        <w:t xml:space="preserve">path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close is</w:t>
      </w:r>
      <w:r>
        <w:t xml:space="preserve"> </w:t>
      </w:r>
      <w:r>
        <w:rPr>
          <w:b/>
          <w:bCs/>
        </w:rPr>
        <w:t xml:space="preserve">CP-8</w:t>
      </w:r>
      <w:r>
        <w:t xml:space="preserve"> </w:t>
      </w:r>
      <w:r>
        <w:t xml:space="preserve">(NIST SP 800-53’s telecommunications</w:t>
      </w:r>
      <w:r>
        <w:t xml:space="preserve"> </w:t>
      </w:r>
      <w:r>
        <w:t xml:space="preserve">services diversity control): one circuit is one circuit, and no overlay</w:t>
      </w:r>
      <w:r>
        <w:t xml:space="preserve"> </w:t>
      </w:r>
      <w:r>
        <w:t xml:space="preserve">technology manufactures a second path that doesn’t physically exist.</w:t>
      </w:r>
      <w:r>
        <w:t xml:space="preserve"> </w:t>
      </w:r>
      <w:r>
        <w:t xml:space="preserve">That is a documented risk-acceptance an authorizing official can make for</w:t>
      </w:r>
      <w:r>
        <w:t xml:space="preserve"> </w:t>
      </w:r>
      <w:r>
        <w:t xml:space="preserve">a low-criticality site — a real, honest gap, not a control satisfied by</w:t>
      </w:r>
      <w:r>
        <w:t xml:space="preserve"> </w:t>
      </w:r>
      <w:r>
        <w:t xml:space="preserve">another mechanism.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converged SASE vendor’s own branch connector.</w:t>
      </w:r>
      <w:r>
        <w:t xml:space="preserve"> </w:t>
      </w:r>
      <w:r>
        <w:t xml:space="preserve">Several SASE/SSE</w:t>
      </w:r>
      <w:r>
        <w:t xml:space="preserve"> </w:t>
      </w:r>
      <w:r>
        <w:t xml:space="preserve">vendors sell a lightweight branch appliance or connector that provides</w:t>
      </w:r>
      <w:r>
        <w:t xml:space="preserve"> </w:t>
      </w:r>
      <w:r>
        <w:t xml:space="preserve">the encrypted tunnel and basic path awareness as part of the</w:t>
      </w:r>
      <w:r>
        <w:t xml:space="preserve"> </w:t>
      </w:r>
      <w:r>
        <w:rPr>
          <w:i/>
          <w:iCs/>
        </w:rPr>
        <w:t xml:space="preserve">same</w:t>
      </w:r>
      <w:r>
        <w:rPr>
          <w:i/>
          <w:iCs/>
        </w:rPr>
        <w:t xml:space="preserve"> </w:t>
      </w:r>
      <w:r>
        <w:rPr>
          <w:i/>
          <w:iCs/>
        </w:rPr>
        <w:t xml:space="preserve">platform</w:t>
      </w:r>
      <w:r>
        <w:t xml:space="preserve"> </w:t>
      </w:r>
      <w:r>
        <w:t xml:space="preserve">as the SSE stack, rather than a separately procured,</w:t>
      </w:r>
      <w:r>
        <w:t xml:space="preserve"> </w:t>
      </w:r>
      <w:r>
        <w:t xml:space="preserve">separately branded</w:t>
      </w:r>
      <w:r>
        <w:t xml:space="preserve"> </w:t>
      </w:r>
      <w:r>
        <w:t xml:space="preserve">“SD-WAN”</w:t>
      </w:r>
      <w:r>
        <w:t xml:space="preserve"> </w:t>
      </w:r>
      <w:r>
        <w:t xml:space="preserve">product. Per Gartner’s own definition above,</w:t>
      </w:r>
      <w:r>
        <w:t xml:space="preserve"> </w:t>
      </w:r>
      <w:r>
        <w:t xml:space="preserve">this is not an exception to</w:t>
      </w:r>
      <w:r>
        <w:t xml:space="preserve"> </w:t>
      </w:r>
      <w:r>
        <w:t xml:space="preserve">“you need SD-WAN”</w:t>
      </w:r>
      <w:r>
        <w:t xml:space="preserve"> </w:t>
      </w:r>
      <w:r>
        <w:t xml:space="preserve">— it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SD-WAN,</w:t>
      </w:r>
      <w:r>
        <w:t xml:space="preserve"> </w:t>
      </w:r>
      <w:r>
        <w:t xml:space="preserve">delivered as a converged capability inside one vendor’s fabric instead of</w:t>
      </w:r>
      <w:r>
        <w:t xml:space="preserve"> </w:t>
      </w:r>
      <w:r>
        <w:t xml:space="preserve">as a distinct SKU. The functional requirement does not disappear; the</w:t>
      </w:r>
      <w:r>
        <w:t xml:space="preserve"> </w:t>
      </w:r>
      <w:r>
        <w:t xml:space="preserve">procurement line item does.</w:t>
      </w:r>
    </w:p>
    <w:p>
      <w:pPr>
        <w:pStyle w:val="FirstParagraph"/>
      </w:pPr>
      <w:r>
        <w:rPr>
          <w:b/>
          <w:bCs/>
        </w:rPr>
        <w:t xml:space="preserve">What does not survive the substitution, with or without a branded SD-WAN</w:t>
      </w:r>
      <w:r>
        <w:rPr>
          <w:b/>
          <w:bCs/>
        </w:rPr>
        <w:t xml:space="preserve"> </w:t>
      </w:r>
      <w:r>
        <w:rPr>
          <w:b/>
          <w:bCs/>
        </w:rPr>
        <w:t xml:space="preserve">product in the picture: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Sub-second, per-flow active-active failover across multiple circuits.</w:t>
      </w:r>
      <w:r>
        <w:t xml:space="preserve"> </w:t>
      </w:r>
      <w:r>
        <w:t xml:space="preserve">Traditional routing-based failover (BGP re-convergence, VRRP/HSRP gateway</w:t>
      </w:r>
      <w:r>
        <w:t xml:space="preserve"> </w:t>
      </w:r>
      <w:r>
        <w:t xml:space="preserve">failover) operates at the whole-circuit level, on a timescale of seconds</w:t>
      </w:r>
      <w:r>
        <w:t xml:space="preserve"> </w:t>
      </w:r>
      <w:r>
        <w:t xml:space="preserve">rather than the sub-second, per-flow failover an SD-WAN control plane</w:t>
      </w:r>
      <w:r>
        <w:t xml:space="preserve"> </w:t>
      </w:r>
      <w:r>
        <w:t xml:space="preserve">provides. A multi-circuit branch that needs real resilience needs</w:t>
      </w:r>
      <w:r>
        <w:t xml:space="preserve"> </w:t>
      </w:r>
      <w:r>
        <w:rPr>
          <w:i/>
          <w:iCs/>
        </w:rPr>
        <w:t xml:space="preserve">something</w:t>
      </w:r>
      <w:r>
        <w:t xml:space="preserve"> </w:t>
      </w:r>
      <w:r>
        <w:t xml:space="preserve">doing this job — hand-built routing can approximate it, at</w:t>
      </w:r>
      <w:r>
        <w:t xml:space="preserve"> </w:t>
      </w:r>
      <w:r>
        <w:t xml:space="preserve">materially worse failover performance.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Per-application, per-class traffic steering across paths (SC-6).</w:t>
      </w:r>
      <w:r>
        <w:t xml:space="preserve"> </w:t>
      </w:r>
      <w:r>
        <w:t xml:space="preserve">Routing traffic classes across specific circuits at the flow level is a</w:t>
      </w:r>
      <w:r>
        <w:t xml:space="preserve"> </w:t>
      </w:r>
      <w:r>
        <w:t xml:space="preserve">policy-engine function; without one, per-class separation collapses to</w:t>
      </w:r>
      <w:r>
        <w:t xml:space="preserve"> </w:t>
      </w:r>
      <w:r>
        <w:t xml:space="preserve">whatever a static routing table or manual QoS policy can express, which</w:t>
      </w:r>
      <w:r>
        <w:t xml:space="preserve"> </w:t>
      </w:r>
      <w:r>
        <w:t xml:space="preserve">does not scale past a handful of sites and does not adapt to path</w:t>
      </w:r>
      <w:r>
        <w:t xml:space="preserve"> </w:t>
      </w:r>
      <w:r>
        <w:t xml:space="preserve">conditions.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automated evidence trail for SI-4/AU-12.</w:t>
      </w:r>
      <w:r>
        <w:t xml:space="preserve"> </w:t>
      </w:r>
      <w:r>
        <w:t xml:space="preserve">SD-WAN’s DPI-plus-</w:t>
      </w:r>
      <w:r>
        <w:t xml:space="preserve"> </w:t>
      </w:r>
      <w:r>
        <w:t xml:space="preserve">steering-log is what turns</w:t>
      </w:r>
      <w:r>
        <w:t xml:space="preserve"> </w:t>
      </w:r>
      <w:r>
        <w:t xml:space="preserve">“traffic was routed somewhere”</w:t>
      </w:r>
      <w:r>
        <w:t xml:space="preserve"> </w:t>
      </w:r>
      <w:r>
        <w:t xml:space="preserve">into a</w:t>
      </w:r>
      <w:r>
        <w:t xml:space="preserve"> </w:t>
      </w:r>
      <w:r>
        <w:t xml:space="preserve">per-flow, application-identified audit record. Hand-built routing does</w:t>
      </w:r>
      <w:r>
        <w:t xml:space="preserve"> </w:t>
      </w:r>
      <w:r>
        <w:t xml:space="preserve">not produce this by default; even where the underlying control is</w:t>
      </w:r>
      <w:r>
        <w:t xml:space="preserve"> </w:t>
      </w:r>
      <w:r>
        <w:t xml:space="preserve">arguably satisfied by manual means, the agency loses the machine-readable</w:t>
      </w:r>
      <w:r>
        <w:t xml:space="preserve"> </w:t>
      </w:r>
      <w:r>
        <w:t xml:space="preserve">evidence Part 7’s compliance ledger depends on and is left assembling</w:t>
      </w:r>
      <w:r>
        <w:t xml:space="preserve"> </w:t>
      </w:r>
      <w:r>
        <w:t xml:space="preserve">audit trails by hand — precisely the failure mode Part 1 argues against</w:t>
      </w:r>
      <w:r>
        <w:t xml:space="preserve"> </w:t>
      </w:r>
      <w:r>
        <w:t xml:space="preserve">for the transport decision generally.</w:t>
      </w:r>
    </w:p>
    <w:p>
      <w:pPr>
        <w:pStyle w:val="FirstParagraph"/>
      </w:pPr>
      <w:r>
        <w:rPr>
          <w:b/>
          <w:bCs/>
        </w:rPr>
        <w:t xml:space="preserve">The honest bottom line:</w:t>
      </w:r>
      <w:r>
        <w:t xml:space="preserve"> </w:t>
      </w:r>
      <w:r>
        <w:t xml:space="preserve">a multi-circuit Branch Office that needs genuine</w:t>
      </w:r>
      <w:r>
        <w:t xml:space="preserve"> </w:t>
      </w:r>
      <w:r>
        <w:t xml:space="preserve">resilience always needs something performing SD-WAN’s function — whether</w:t>
      </w:r>
      <w:r>
        <w:t xml:space="preserve"> </w:t>
      </w:r>
      <w:r>
        <w:t xml:space="preserve">procured as a distinct product or absorbed into a converged SASE vendor’s</w:t>
      </w:r>
      <w:r>
        <w:t xml:space="preserve"> </w:t>
      </w:r>
      <w:r>
        <w:t xml:space="preserve">platform, per Gartner’s own definition of what SASE already includes. The</w:t>
      </w:r>
      <w:r>
        <w:t xml:space="preserve"> </w:t>
      </w:r>
      <w:r>
        <w:t xml:space="preserve">clean exceptions are a single-circuit branch, where the correct answer is a</w:t>
      </w:r>
      <w:r>
        <w:t xml:space="preserve"> </w:t>
      </w:r>
      <w:r>
        <w:t xml:space="preserve">documented CP-8 risk-acceptance rather than a claim that the control was</w:t>
      </w:r>
      <w:r>
        <w:t xml:space="preserve"> </w:t>
      </w:r>
      <w:r>
        <w:t xml:space="preserve">closed some other way, and a converged-platform deployment, where the</w:t>
      </w:r>
      <w:r>
        <w:t xml:space="preserve"> </w:t>
      </w:r>
      <w:r>
        <w:t xml:space="preserve">function is still present under a different name. Neither is</w:t>
      </w:r>
      <w:r>
        <w:t xml:space="preserve"> </w:t>
      </w:r>
      <w:r>
        <w:t xml:space="preserve">“Zero Trust</w:t>
      </w:r>
      <w:r>
        <w:t xml:space="preserve"> </w:t>
      </w:r>
      <w:r>
        <w:t xml:space="preserve">without transport governance”</w:t>
      </w:r>
      <w:r>
        <w:t xml:space="preserve"> </w:t>
      </w:r>
      <w:r>
        <w:t xml:space="preserve">— both are transport governance delivered, or</w:t>
      </w:r>
      <w:r>
        <w:t xml:space="preserve"> </w:t>
      </w:r>
      <w:r>
        <w:t xml:space="preserve">explicitly not delivered and named as such, rather than assumed away.</w:t>
      </w:r>
    </w:p>
    <w:bookmarkEnd w:id="47"/>
    <w:bookmarkStart w:id="48" w:name="X5a4de8fac0766f1cf17fffe46347991ac18ebeb"/>
    <w:p>
      <w:pPr>
        <w:pStyle w:val="Heading3"/>
      </w:pPr>
      <w:r>
        <w:t xml:space="preserve">4.2 The other half of the bargain: telemetry to CISA</w:t>
      </w:r>
    </w:p>
    <w:p>
      <w:pPr>
        <w:pStyle w:val="FirstParagraph"/>
      </w:pPr>
      <w:r>
        <w:t xml:space="preserve">M-19-26’s trade was not</w:t>
      </w:r>
      <w:r>
        <w:t xml:space="preserve"> </w:t>
      </w:r>
      <w:r>
        <w:t xml:space="preserve">“distributed enforcement for free”</w:t>
      </w:r>
      <w:r>
        <w:t xml:space="preserve"> </w:t>
      </w:r>
      <w:r>
        <w:t xml:space="preserve">— it was</w:t>
      </w:r>
      <w:r>
        <w:t xml:space="preserve"> </w:t>
      </w:r>
      <w:r>
        <w:t xml:space="preserve">distributed enforcement</w:t>
      </w:r>
      <w:r>
        <w:t xml:space="preserve"> </w:t>
      </w:r>
      <w:r>
        <w:rPr>
          <w:i/>
          <w:iCs/>
        </w:rPr>
        <w:t xml:space="preserve">in exchange for visibility</w:t>
      </w:r>
      <w:r>
        <w:t xml:space="preserve">. An agency that</w:t>
      </w:r>
      <w:r>
        <w:t xml:space="preserve"> </w:t>
      </w:r>
      <w:r>
        <w:t xml:space="preserve">distributes its egress assumes an obligation to share security telemetry</w:t>
      </w:r>
      <w:r>
        <w:t xml:space="preserve"> </w:t>
      </w:r>
      <w:r>
        <w:t xml:space="preserve">with CISA; in the cloud-era architecture that means reporting patterns per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NCPS Cloud Interface Reference Architecture</w:t>
      </w:r>
      <w:r>
        <w:t xml:space="preserve"> </w:t>
      </w:r>
      <w:r>
        <w:t xml:space="preserve">into CISA’s</w:t>
      </w:r>
      <w:r>
        <w:t xml:space="preserve"> </w:t>
      </w:r>
      <w:r>
        <w:rPr>
          <w:b/>
          <w:bCs/>
        </w:rPr>
        <w:t xml:space="preserve">Cloud Log</w:t>
      </w:r>
      <w:r>
        <w:rPr>
          <w:b/>
          <w:bCs/>
        </w:rPr>
        <w:t xml:space="preserve"> </w:t>
      </w:r>
      <w:r>
        <w:rPr>
          <w:b/>
          <w:bCs/>
        </w:rPr>
        <w:t xml:space="preserve">Aggregation Warehouse (CLAW)</w:t>
      </w:r>
      <w:r>
        <w:t xml:space="preserve">. Neither CIRA nor CLAW answers</w:t>
      </w:r>
      <w:r>
        <w:t xml:space="preserve"> </w:t>
      </w:r>
      <w:r>
        <w:t xml:space="preserve">“what telemetry</w:t>
      </w:r>
      <w:r>
        <w:t xml:space="preserve"> </w:t>
      </w:r>
      <w:r>
        <w:t xml:space="preserve">is required”</w:t>
      </w:r>
      <w:r>
        <w:t xml:space="preserve"> </w:t>
      </w:r>
      <w:r>
        <w:t xml:space="preserve">— that is CISA’s</w:t>
      </w:r>
      <w:r>
        <w:t xml:space="preserve"> </w:t>
      </w:r>
      <w:r>
        <w:rPr>
          <w:b/>
          <w:bCs/>
        </w:rPr>
        <w:t xml:space="preserve">extensible Visibility Reference Framework</w:t>
      </w:r>
      <w:r>
        <w:rPr>
          <w:b/>
          <w:bCs/>
        </w:rPr>
        <w:t xml:space="preserve"> </w:t>
      </w:r>
      <w:r>
        <w:rPr>
          <w:b/>
          <w:bCs/>
        </w:rPr>
        <w:t xml:space="preserve">(eVRF)</w:t>
      </w:r>
      <w:r>
        <w:t xml:space="preserve">, which specifies the required telemetry by network vantage point;</w:t>
      </w:r>
      <w:r>
        <w:t xml:space="preserve"> </w:t>
      </w:r>
      <w:r>
        <w:t xml:space="preserve">CIRA and CLAW describe the reporting pattern and the pipeline the telemetry</w:t>
      </w:r>
      <w:r>
        <w:t xml:space="preserve"> </w:t>
      </w:r>
      <w:r>
        <w:t xml:space="preserve">travels once eVRF has said what must be collected. This matters to the compliance ledger in</w:t>
      </w:r>
      <w:r>
        <w:t xml:space="preserve"> </w:t>
      </w:r>
      <w:r>
        <w:t xml:space="preserve">Part 7: agency-side continuous monitoring (CA-7) and the federal telemetry</w:t>
      </w:r>
      <w:r>
        <w:t xml:space="preserve"> </w:t>
      </w:r>
      <w:r>
        <w:t xml:space="preserve">obligation are</w:t>
      </w:r>
      <w:r>
        <w:t xml:space="preserve"> </w:t>
      </w:r>
      <w:r>
        <w:rPr>
          <w:i/>
          <w:iCs/>
        </w:rPr>
        <w:t xml:space="preserve">different artifacts</w:t>
      </w:r>
      <w:r>
        <w:t xml:space="preserve"> </w:t>
      </w:r>
      <w:r>
        <w:t xml:space="preserve">— closing one does not close the</w:t>
      </w:r>
      <w:r>
        <w:t xml:space="preserve"> </w:t>
      </w:r>
      <w:r>
        <w:t xml:space="preserve">other, and a distributed-egress design that cannot feed CLAW has satisfied</w:t>
      </w:r>
      <w:r>
        <w:t xml:space="preserve"> </w:t>
      </w:r>
      <w:r>
        <w:t xml:space="preserve">its SSP and failed the program bargain. Two further mandates frame the</w:t>
      </w:r>
      <w:r>
        <w:t xml:space="preserve"> </w:t>
      </w:r>
      <w:r>
        <w:t xml:space="preserve">telemetry story:</w:t>
      </w:r>
      <w:r>
        <w:t xml:space="preserve"> </w:t>
      </w:r>
      <w:r>
        <w:rPr>
          <w:b/>
          <w:bCs/>
        </w:rPr>
        <w:t xml:space="preserve">OMB M-26-14</w:t>
      </w:r>
      <w:r>
        <w:t xml:space="preserve"> </w:t>
      </w:r>
      <w:r>
        <w:t xml:space="preserve">(22 May 2026), which rescinded M-21-31, defines the event-logging maturity levels</w:t>
      </w:r>
      <w:r>
        <w:t xml:space="preserve"> </w:t>
      </w:r>
      <w:r>
        <w:t xml:space="preserve">(EL0–EL3) that any AU-12 claim in this paper is actually measured against,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OMB M-22-09</w:t>
      </w:r>
      <w:r>
        <w:t xml:space="preserve"> </w:t>
      </w:r>
      <w:r>
        <w:t xml:space="preserve">speaks directly to encrypted traffic and the</w:t>
      </w:r>
      <w:r>
        <w:t xml:space="preserve"> </w:t>
      </w:r>
      <w:r>
        <w:t xml:space="preserve">inspection tradeoffs of Section 5.5.</w:t>
      </w:r>
    </w:p>
    <w:bookmarkEnd w:id="48"/>
    <w:bookmarkStart w:id="50" w:name="X014e91284192935ac75d11970aded89d424a7fc"/>
    <w:p>
      <w:pPr>
        <w:pStyle w:val="Heading3"/>
      </w:pPr>
      <w:r>
        <w:t xml:space="preserve">4.3 The PEP has a location — apply Part 2 to it</w:t>
      </w:r>
    </w:p>
    <w:p>
      <w:pPr>
        <w:pStyle w:val="FirstParagraph"/>
      </w:pPr>
      <w:r>
        <w:t xml:space="preserve">This paper’s own physics argument applies to the enforcement point. If the</w:t>
      </w:r>
      <w:r>
        <w:t xml:space="preserve"> </w:t>
      </w:r>
      <w:r>
        <w:t xml:space="preserve">Branch Office PEP is realized as a</w:t>
      </w:r>
      <w:r>
        <w:t xml:space="preserve"> </w:t>
      </w:r>
      <w:r>
        <w:rPr>
          <w:b/>
          <w:bCs/>
        </w:rPr>
        <w:t xml:space="preserve">cloud SASE PoP</w:t>
      </w:r>
      <w:r>
        <w:t xml:space="preserve">, the flows it governs</w:t>
      </w:r>
      <w:r>
        <w:t xml:space="preserve"> </w:t>
      </w:r>
      <w:r>
        <w:t xml:space="preserve">travel branch → PoP → destination, and the PoP’s location joins the latency</w:t>
      </w:r>
      <w:r>
        <w:t xml:space="preserve"> </w:t>
      </w:r>
      <w:r>
        <w:t xml:space="preserve">budget. The FedRAMP-authorized PoP footprint available to an agency is</w:t>
      </w:r>
      <w:r>
        <w:t xml:space="preserve"> </w:t>
      </w:r>
      <w:r>
        <w:t xml:space="preserve">materially thinner than the vendor’s commercial footprint — and if the</w:t>
      </w:r>
      <w:r>
        <w:t xml:space="preserve"> </w:t>
      </w:r>
      <w:r>
        <w:t xml:space="preserve">nearest</w:t>
      </w:r>
      <w:r>
        <w:t xml:space="preserve"> </w:t>
      </w:r>
      <w:r>
        <w:rPr>
          <w:i/>
          <w:iCs/>
        </w:rPr>
        <w:t xml:space="preserve">authorized</w:t>
      </w:r>
      <w:r>
        <w:t xml:space="preserve"> </w:t>
      </w:r>
      <w:r>
        <w:t xml:space="preserve">PoP to a Portland field office is not near Portland,</w:t>
      </w:r>
      <w:r>
        <w:t xml:space="preserve"> </w:t>
      </w:r>
      <w:r>
        <w:t xml:space="preserve">the agency has traded a TIC hairpin for a SASE hairpin and spent the G.114</w:t>
      </w:r>
      <w:r>
        <w:t xml:space="preserve"> </w:t>
      </w:r>
      <w:r>
        <w:t xml:space="preserve">budget anyway. The decision rule falls out of Part 2: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Measure</w:t>
      </w:r>
      <w:r>
        <w:t xml:space="preserve">, don’t assume: probe round-trip from each branch to the</w:t>
      </w:r>
      <w:r>
        <w:t xml:space="preserve"> </w:t>
      </w:r>
      <w:r>
        <w:t xml:space="preserve">nearest authorized PoP of each candidate vendor, from the FedRAMP</w:t>
      </w:r>
      <w:r>
        <w:t xml:space="preserve"> </w:t>
      </w:r>
      <w:r>
        <w:t xml:space="preserve">Marketplace’s authorized-services list, not the commercial PoP map.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If the detour to the authorized PoP consumes the voice budget</w:t>
      </w:r>
      <w:r>
        <w:t xml:space="preserve">, the</w:t>
      </w:r>
      <w:r>
        <w:t xml:space="preserve"> </w:t>
      </w:r>
      <w:r>
        <w:t xml:space="preserve">PEP belongs at the branch edge (on-premises SD-WAN + security services at</w:t>
      </w:r>
      <w:r>
        <w:t xml:space="preserve"> </w:t>
      </w:r>
      <w:r>
        <w:t xml:space="preserve">or near the egress) for latency-critical classes, with the cloud PoP</w:t>
      </w:r>
      <w:r>
        <w:t xml:space="preserve"> </w:t>
      </w:r>
      <w:r>
        <w:t xml:space="preserve">governing the classes that can afford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Steer per class, not per site</w:t>
      </w:r>
      <w:r>
        <w:t xml:space="preserve">: the Optimize-category discussion of</w:t>
      </w:r>
      <w:r>
        <w:t xml:space="preserve"> </w:t>
      </w:r>
      <w:r>
        <w:t xml:space="preserve">Section 5.5 is the same decision applied to Microsoft’s latency-critical</w:t>
      </w:r>
      <w:r>
        <w:t xml:space="preserve"> </w:t>
      </w:r>
      <w:r>
        <w:t xml:space="preserve">flows.</w:t>
      </w:r>
    </w:p>
    <w:p>
      <w:pPr>
        <w:pStyle w:val="FirstParagraph"/>
      </w:pPr>
      <w:r>
        <w:t xml:space="preserve">This is why the OrgComp series calls a bare DIA circuit (Part 1’s precise</w:t>
      </w:r>
      <w:r>
        <w:t xml:space="preserve"> </w:t>
      </w:r>
      <w:r>
        <w:t xml:space="preserve">sense) a</w:t>
      </w:r>
      <w:r>
        <w:t xml:space="preserve"> </w:t>
      </w:r>
      <w:r>
        <w:rPr>
          <w:i/>
          <w:iCs/>
        </w:rPr>
        <w:t xml:space="preserve">step backward</w:t>
      </w:r>
      <w:r>
        <w:t xml:space="preserve">: the MPLS hairpin it replaced was slow, but it did</w:t>
      </w:r>
      <w:r>
        <w:t xml:space="preserve"> </w:t>
      </w:r>
      <w:r>
        <w:t xml:space="preserve">pass through an assessed network boundary. Bare DIA has better latency and</w:t>
      </w:r>
      <w:r>
        <w:t xml:space="preserve"> </w:t>
      </w:r>
      <w:r>
        <w:t xml:space="preserve">no network boundary (endpoint- and host-based boundary controls, where</w:t>
      </w:r>
      <w:r>
        <w:t xml:space="preserve"> </w:t>
      </w:r>
      <w:r>
        <w:t xml:space="preserve">present, are unaffected by the transport change). The formal treatment of</w:t>
      </w:r>
      <w:r>
        <w:t xml:space="preserve"> </w:t>
      </w:r>
      <w:r>
        <w:t xml:space="preserve">boundary controls on distributed</w:t>
      </w:r>
      <w:r>
        <w:t xml:space="preserve"> </w:t>
      </w:r>
      <w:r>
        <w:t xml:space="preserve">egress — SC-7, SC-7(7), AC-4 — is anchored in</w:t>
      </w:r>
      <w:r>
        <w:t xml:space="preserve"> </w:t>
      </w:r>
      <w:hyperlink r:id="rId49">
        <w:r>
          <w:rPr>
            <w:rStyle w:val="Hyperlink"/>
          </w:rPr>
          <w:t xml:space="preserve">Vol I Book 07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Executive Summary’s</w:t>
        </w:r>
      </w:hyperlink>
      <w:r>
        <w:t xml:space="preserve"> </w:t>
      </w:r>
      <w:r>
        <w:t xml:space="preserve">necessity-anchor table.</w:t>
      </w:r>
    </w:p>
    <w:p>
      <w:r>
        <w:pict>
          <ns5:rect style="width:0;height:1.5pt" ns6:hralign="center" ns6:hrstd="t" ns6:hr="t"/>
        </w:pict>
      </w:r>
    </w:p>
    <w:bookmarkEnd w:id="50"/>
    <w:bookmarkEnd w:id="51"/>
    <w:bookmarkStart w:id="78" w:name="part-5-sd-wan-the-governor-of-pipes"/>
    <w:p>
      <w:pPr>
        <w:pStyle w:val="Heading2"/>
      </w:pPr>
      <w:r>
        <w:t xml:space="preserve">Part 5 — SD-WAN: The Governor of Pipes</w:t>
      </w:r>
    </w:p>
    <w:p>
      <w:pPr>
        <w:pStyle w:val="FirstParagraph"/>
      </w:pPr>
      <w:r>
        <w:t xml:space="preserve">SD-WAN is the mechanism class that turns the Part 3 menu into one governed</w:t>
      </w:r>
      <w:r>
        <w:t xml:space="preserve"> </w:t>
      </w:r>
      <w:r>
        <w:t xml:space="preserve">transport. Its contributions divide into three control closures no pipe can</w:t>
      </w:r>
      <w:r>
        <w:t xml:space="preserve"> </w:t>
      </w:r>
      <w:r>
        <w:t xml:space="preserve">provide, plus one availability property that changed field-office</w:t>
      </w:r>
      <w:r>
        <w:t xml:space="preserve"> </w:t>
      </w:r>
      <w:r>
        <w:t xml:space="preserve">operations. One scoping sentence up front, because the paper’s title invites</w:t>
      </w:r>
      <w:r>
        <w:t xml:space="preserve"> </w:t>
      </w:r>
      <w:r>
        <w:t xml:space="preserve">the misreading:</w:t>
      </w:r>
      <w:r>
        <w:t xml:space="preserve"> </w:t>
      </w:r>
      <w:r>
        <w:rPr>
          <w:b/>
          <w:bCs/>
        </w:rPr>
        <w:t xml:space="preserve">SD-WAN alone does not satisfy the TIC 3.0 Branch Office</w:t>
      </w:r>
      <w:r>
        <w:rPr>
          <w:b/>
          <w:bCs/>
        </w:rPr>
        <w:t xml:space="preserve"> </w:t>
      </w:r>
      <w:r>
        <w:rPr>
          <w:b/>
          <w:bCs/>
        </w:rPr>
        <w:t xml:space="preserve">use case.</w:t>
      </w:r>
      <w:r>
        <w:t xml:space="preserve"> </w:t>
      </w:r>
      <w:r>
        <w:t xml:space="preserve">The overlay closes SC-8 (circuit-wide), SC-6, and the transport</w:t>
      </w:r>
      <w:r>
        <w:t xml:space="preserve"> </w:t>
      </w:r>
      <w:r>
        <w:t xml:space="preserve">share of SI-4; the boundary, flow-enforcement, and malware capabilities the</w:t>
      </w:r>
      <w:r>
        <w:t xml:space="preserve"> </w:t>
      </w:r>
      <w:r>
        <w:t xml:space="preserve">TIC catalog demands at the PEP come from the SASE stack above it. A reader</w:t>
      </w:r>
      <w:r>
        <w:t xml:space="preserve"> </w:t>
      </w:r>
      <w:r>
        <w:t xml:space="preserve">who buys the title’s SD-WAN and stops has bought the governor’s Layer 3 and</w:t>
      </w:r>
      <w:r>
        <w:t xml:space="preserve"> </w:t>
      </w:r>
      <w:r>
        <w:t xml:space="preserve">skipped its Layer 7 — and still fails the use case. The defensible framing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DIA vs. SASE, with SD-WAN as the transport-governance component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pipe-vs-governor"/>
          <w:p>
            <w:pPr>
              <w:pStyle w:val="Compact"/>
              <w:jc w:val="center"/>
            </w:pPr>
            <w:r>
              <w:drawing>
                <ns1:inline>
                  <ns1:extent cx="5334000" cy="3429000"/>
                  <ns1:effectExtent b="0" l="0" r="0" t="0"/>
                  <ns1:docPr descr="" title="" id="53" name="Picture"/>
                  <ns2:graphic>
                    <ns2:graphicData uri="http://schemas.openxmlformats.org/drawingml/2006/picture">
                      <ns3:pic>
                        <ns3:nvPicPr>
                          <ns3:cNvPr descr="images/tic3-sdwan-vs-dia-diagram-02-pipe-vs-governor.svg" id="5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>
                            <ns2:extLst>
                              <ns2:ext uri="{28A0092B-C50C-407E-A947-70E740481C1C}">
                                <ns7:useLocalDpi val="0"/>
                              </ns2:ext>
                              <ns2:ext uri="{96DAC541-7B7A-43D3-8B79-37D633B846F1}">
                                <ns8:svgBlip r:embed="rId52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429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r>
              <w:t xml:space="preserve">“SD-WAN vs. DIA”</w:t>
            </w:r>
            <w:r>
              <w:t xml:space="preserve"> </w:t>
            </w:r>
            <w:r>
              <w:t xml:space="preserve">is a category error — the pipe, the two governor layers above it, and the TIC 3.0 gate above all three</w:t>
            </w:r>
          </w:p>
          <w:bookmarkEnd w:id="55"/>
        </w:tc>
      </w:tr>
    </w:tbl>
    <w:bookmarkStart w:id="56" w:name="circuit-wide-encryption-sc-8"/>
    <w:p>
      <w:pPr>
        <w:pStyle w:val="Heading3"/>
      </w:pPr>
      <w:r>
        <w:t xml:space="preserve">5.1 Circuit-wide encryption (SC-8)</w:t>
      </w:r>
    </w:p>
    <w:p>
      <w:pPr>
        <w:pStyle w:val="FirstParagraph"/>
      </w:pPr>
      <w:r>
        <w:t xml:space="preserve">The SD-WAN overlay encrypts at the network layer — IPsec tunnels between</w:t>
      </w:r>
      <w:r>
        <w:t xml:space="preserve"> </w:t>
      </w:r>
      <w:r>
        <w:t xml:space="preserve">WAN edges, with AES-256-GCM data-plane encryption on the platforms the</w:t>
      </w:r>
      <w:r>
        <w:t xml:space="preserve"> </w:t>
      </w:r>
      <w:r>
        <w:t xml:space="preserve">OrgComp series references. State the FIPS claim the way an assessor will</w:t>
      </w:r>
      <w:r>
        <w:t xml:space="preserve"> </w:t>
      </w:r>
      <w:r>
        <w:t xml:space="preserve">demand it:</w:t>
      </w:r>
      <w:r>
        <w:t xml:space="preserve"> </w:t>
      </w:r>
      <w:r>
        <w:rPr>
          <w:b/>
          <w:bCs/>
        </w:rPr>
        <w:t xml:space="preserve">FIPS 140-3 validates cryptographic modules, not cipher suites</w:t>
      </w:r>
      <w:r>
        <w:rPr>
          <w:b/>
          <w:bCs/>
        </w:rPr>
        <w:t xml:space="preserve"> </w:t>
      </w:r>
      <w:r>
        <w:rPr>
          <w:b/>
          <w:bCs/>
        </w:rPr>
        <w:t xml:space="preserve">or products</w:t>
      </w:r>
      <w:r>
        <w:t xml:space="preserve">, and the validation applies only in the configuration the</w:t>
      </w:r>
      <w:r>
        <w:t xml:space="preserve"> </w:t>
      </w:r>
      <w:r>
        <w:t xml:space="preserve">CMVP certificate describes. The evidence bundle is a named CMVP certificate</w:t>
      </w:r>
      <w:r>
        <w:t xml:space="preserve"> </w:t>
      </w:r>
      <w:r>
        <w:t xml:space="preserve">number, the deployed module version, and configuration evidence that each</w:t>
      </w:r>
      <w:r>
        <w:t xml:space="preserve"> </w:t>
      </w:r>
      <w:r>
        <w:t xml:space="preserve">edge runs in the validated configuration (on several SD-WAN platforms, FIPS</w:t>
      </w:r>
      <w:r>
        <w:t xml:space="preserve"> </w:t>
      </w:r>
      <w:r>
        <w:t xml:space="preserve">mode restricts tunnel types or portions of the data plane — the restriction</w:t>
      </w:r>
      <w:r>
        <w:t xml:space="preserve"> </w:t>
      </w:r>
      <w:r>
        <w:t xml:space="preserve">is part of the evidence, not a footnote). Every packet the overlay carries</w:t>
      </w:r>
      <w:r>
        <w:t xml:space="preserve"> </w:t>
      </w:r>
      <w:r>
        <w:t xml:space="preserve">is encrypted regardless of what application generated it and regardless of</w:t>
      </w:r>
      <w:r>
        <w:t xml:space="preserve"> </w:t>
      </w:r>
      <w:r>
        <w:t xml:space="preserve">whether that application negotiated TLS. Part 7 states precisely what this</w:t>
      </w:r>
      <w:r>
        <w:t xml:space="preserve"> </w:t>
      </w:r>
      <w:r>
        <w:t xml:space="preserve">does and does not claim.</w:t>
      </w:r>
    </w:p>
    <w:bookmarkEnd w:id="56"/>
    <w:bookmarkStart w:id="57" w:name="traffic-class-separation-sc-6"/>
    <w:p>
      <w:pPr>
        <w:pStyle w:val="Heading3"/>
      </w:pPr>
      <w:r>
        <w:t xml:space="preserve">5.2 Traffic-class separation (SC-6)</w:t>
      </w:r>
    </w:p>
    <w:p>
      <w:pPr>
        <w:pStyle w:val="FirstParagraph"/>
      </w:pPr>
      <w:r>
        <w:t xml:space="preserve">A pipe carries whatever arrives. The overlay classifies: voice marked and</w:t>
      </w:r>
      <w:r>
        <w:t xml:space="preserve"> </w:t>
      </w:r>
      <w:r>
        <w:t xml:space="preserve">prioritized, bulk transfer kept out of the way of interactive traffic —</w:t>
      </w:r>
      <w:r>
        <w:t xml:space="preserve"> </w:t>
      </w:r>
      <w:r>
        <w:t xml:space="preserve">and, in the database estate,</w:t>
      </w:r>
      <w:r>
        <w:t xml:space="preserve"> </w:t>
      </w:r>
      <w:hyperlink r:id="rId23">
        <w:r>
          <w:rPr>
            <w:rStyle w:val="Hyperlink"/>
          </w:rPr>
          <w:t xml:space="preserve">Vol II Book 03’s</w:t>
        </w:r>
      </w:hyperlink>
      <w:r>
        <w:t xml:space="preserve"> </w:t>
      </w:r>
      <w:r>
        <w:t xml:space="preserve">lean/fat lane separation, where consensus heartbeats and quorum</w:t>
      </w:r>
      <w:r>
        <w:t xml:space="preserve"> </w:t>
      </w:r>
      <w:r>
        <w:t xml:space="preserve">acknowledgments ride a protected class that backup and async-replication</w:t>
      </w:r>
      <w:r>
        <w:t xml:space="preserve"> </w:t>
      </w:r>
      <w:r>
        <w:t xml:space="preserve">streams cannot starve. This is</w:t>
      </w:r>
      <w:r>
        <w:t xml:space="preserve"> </w:t>
      </w:r>
      <w:r>
        <w:rPr>
          <w:b/>
          <w:bCs/>
        </w:rPr>
        <w:t xml:space="preserve">SC-6 (Resource Availability)</w:t>
      </w:r>
      <w:r>
        <w:t xml:space="preserve">, not SC-5:</w:t>
      </w:r>
      <w:r>
        <w:t xml:space="preserve"> </w:t>
      </w:r>
      <w:r>
        <w:t xml:space="preserve">allocating bandwidth by priority, quota, and unit allocation across classes</w:t>
      </w:r>
      <w:r>
        <w:t xml:space="preserve"> </w:t>
      </w:r>
      <w:r>
        <w:t xml:space="preserve">is a resource-allocation control, and only the overlay has classes to</w:t>
      </w:r>
      <w:r>
        <w:t xml:space="preserve"> </w:t>
      </w:r>
      <w:r>
        <w:t xml:space="preserve">allocate against.</w:t>
      </w:r>
      <w:r>
        <w:t xml:space="preserve"> </w:t>
      </w:r>
      <w:r>
        <w:rPr>
          <w:b/>
          <w:bCs/>
        </w:rPr>
        <w:t xml:space="preserve">SC-5 (Denial-of-Service Protection)</w:t>
      </w:r>
      <w:r>
        <w:t xml:space="preserve"> </w:t>
      </w:r>
      <w:r>
        <w:t xml:space="preserve">targets</w:t>
      </w:r>
      <w:r>
        <w:t xml:space="preserve"> </w:t>
      </w:r>
      <w:r>
        <w:t xml:space="preserve">adversarial DoS attacks specifically — attack-restriction, capacity,</w:t>
      </w:r>
      <w:r>
        <w:t xml:space="preserve"> </w:t>
      </w:r>
      <w:r>
        <w:t xml:space="preserve">bandwidth, and redundancy provisioning, and DoS detection — and this paper</w:t>
      </w:r>
      <w:r>
        <w:t xml:space="preserve"> </w:t>
      </w:r>
      <w:r>
        <w:t xml:space="preserve">names no rate-limiting or DoS-detection mechanism elsewhere that would earn</w:t>
      </w:r>
      <w:r>
        <w:t xml:space="preserve"> </w:t>
      </w:r>
      <w:r>
        <w:t xml:space="preserve">even partial SC-5 credit; closing SC-5 requires a separate, DoS-specific</w:t>
      </w:r>
      <w:r>
        <w:t xml:space="preserve"> </w:t>
      </w:r>
      <w:r>
        <w:t xml:space="preserve">control, not traffic-class separation alone.</w:t>
      </w:r>
    </w:p>
    <w:bookmarkEnd w:id="57"/>
    <w:bookmarkStart w:id="58" w:name="Xe35123746ed8b5fd4b2c881a625fa61321f07fb"/>
    <w:p>
      <w:pPr>
        <w:pStyle w:val="Heading3"/>
      </w:pPr>
      <w:r>
        <w:t xml:space="preserve">5.3 Application-layer path telemetry (SI-4, AU-12, CA-7)</w:t>
      </w:r>
    </w:p>
    <w:p>
      <w:pPr>
        <w:pStyle w:val="FirstParagraph"/>
      </w:pPr>
      <w:r>
        <w:t xml:space="preserve">A bare circuit reports link state and byte counts. Flow records see</w:t>
      </w:r>
      <w:r>
        <w:t xml:space="preserve"> </w:t>
      </w:r>
      <w:r>
        <w:t xml:space="preserve">five-tuples. Neither can distinguish authorized use from exfiltration on</w:t>
      </w:r>
      <w:r>
        <w:t xml:space="preserve"> </w:t>
      </w:r>
      <w:r>
        <w:t xml:space="preserve">port 443, and neither records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traffic took the path it took. The</w:t>
      </w:r>
      <w:r>
        <w:t xml:space="preserve"> </w:t>
      </w:r>
      <w:r>
        <w:t xml:space="preserve">overlay’s DPI classifies the application per flow; its steering decisions</w:t>
      </w:r>
      <w:r>
        <w:t xml:space="preserve"> </w:t>
      </w:r>
      <w:r>
        <w:t xml:space="preserve">are logged events; and the SASE stack above it records identity, posture,</w:t>
      </w:r>
      <w:r>
        <w:t xml:space="preserve"> </w:t>
      </w:r>
      <w:r>
        <w:t xml:space="preserve">and action per session. This is the telemetry that feeds the series’</w:t>
      </w:r>
      <w:r>
        <w:t xml:space="preserve"> </w:t>
      </w:r>
      <w:r>
        <w:t xml:space="preserve">continuous-monitoring evidence pipeline — the machine-readable per-session</w:t>
      </w:r>
      <w:r>
        <w:t xml:space="preserve"> </w:t>
      </w:r>
      <w:r>
        <w:t xml:space="preserve">records that CA-7 expects and that no collector can extract from a pipe</w:t>
      </w:r>
      <w:r>
        <w:t xml:space="preserve"> </w:t>
      </w:r>
      <w:r>
        <w:t xml:space="preserve">that never carried the information. (Two scope notes from Part 4: the</w:t>
      </w:r>
      <w:r>
        <w:t xml:space="preserve"> </w:t>
      </w:r>
      <w:r>
        <w:t xml:space="preserve">telemetry must also reach CLAW to honor the TIC bargain, and M-26-14’s</w:t>
      </w:r>
      <w:r>
        <w:t xml:space="preserve"> </w:t>
      </w:r>
      <w:r>
        <w:t xml:space="preserve">EL tiers — not this paper — define what</w:t>
      </w:r>
      <w:r>
        <w:t xml:space="preserve"> </w:t>
      </w:r>
      <w:r>
        <w:t xml:space="preserve">“logged”</w:t>
      </w:r>
      <w:r>
        <w:t xml:space="preserve"> </w:t>
      </w:r>
      <w:r>
        <w:t xml:space="preserve">means for AU-12.)</w:t>
      </w:r>
    </w:p>
    <w:bookmarkEnd w:id="58"/>
    <w:bookmarkStart w:id="68" w:name="X209b6b8bdbe9d09f6d9606dca5adc56de7c0538"/>
    <w:p>
      <w:pPr>
        <w:pStyle w:val="Heading3"/>
      </w:pPr>
      <w:r>
        <w:t xml:space="preserve">5.4 Active-active multipath — the availability property</w:t>
      </w:r>
    </w:p>
    <w:p>
      <w:pPr>
        <w:pStyle w:val="FirstParagraph"/>
      </w:pPr>
      <w:r>
        <w:t xml:space="preserve">Traditional WAN design is active-passive: MPLS primary, broadband standby,</w:t>
      </w:r>
      <w:r>
        <w:t xml:space="preserve"> </w:t>
      </w:r>
      <w:r>
        <w:t xml:space="preserve">and a 30–90-second switchover during which VPN tunnels drop, sessions time</w:t>
      </w:r>
      <w:r>
        <w:t xml:space="preserve"> </w:t>
      </w:r>
      <w:r>
        <w:t xml:space="preserve">out, and field offices report the</w:t>
      </w:r>
      <w:r>
        <w:t xml:space="preserve"> </w:t>
      </w:r>
      <w:r>
        <w:t xml:space="preserve">“45-second logon.”</w:t>
      </w:r>
      <w:r>
        <w:t xml:space="preserve"> </w:t>
      </w:r>
      <w:r>
        <w:t xml:space="preserve">Active-active</w:t>
      </w:r>
      <w:r>
        <w:t xml:space="preserve"> </w:t>
      </w:r>
      <w:r>
        <w:t xml:space="preserve">multipath carries traffic on all available paths — MPLS, fiber DIA, 5G,</w:t>
      </w:r>
      <w:r>
        <w:t xml:space="preserve"> </w:t>
      </w:r>
      <w:r>
        <w:t xml:space="preserve">LEO — simultaneously, resequencing at the far edge and absorbing a path</w:t>
      </w:r>
      <w:r>
        <w:t xml:space="preserve"> </w:t>
      </w:r>
      <w:r>
        <w:t xml:space="preserve">failure fast enough that sessions survive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multipath"/>
          <w:p>
            <w:pPr>
              <w:pStyle w:val="Compact"/>
              <w:jc w:val="center"/>
            </w:pPr>
            <w:r>
              <w:drawing>
                <ns1:inline>
                  <ns1:extent cx="5334000" cy="2844800"/>
                  <ns1:effectExtent b="0" l="0" r="0" t="0"/>
                  <ns1:docPr descr="" title="" id="60" name="Picture"/>
                  <ns2:graphic>
                    <ns2:graphicData uri="http://schemas.openxmlformats.org/drawingml/2006/picture">
                      <ns3:pic>
                        <ns3:nvPicPr>
                          <ns3:cNvPr descr="../orgcomp-series/figs/mf-fig-04-multipath.svg" id="6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>
                            <ns2:extLst>
                              <ns2:ext uri="{28A0092B-C50C-407E-A947-70E740481C1C}">
                                <ns7:useLocalDpi val="0"/>
                              </ns2:ext>
                              <ns2:ext uri="{96DAC541-7B7A-43D3-8B79-37D633B846F1}">
                                <ns8:svgBlip r:embed="rId59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28448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SD-WAN active-active multipath: four transports, one application view</w:t>
            </w:r>
          </w:p>
          <w:bookmarkEnd w:id="62"/>
        </w:tc>
      </w:tr>
    </w:tbl>
    <w:p>
      <w:pPr>
        <w:pStyle w:val="BodyText"/>
      </w:pPr>
      <w:r>
        <w:t xml:space="preserve">State the failover claim with its configuration basis, because the defaults</w:t>
      </w:r>
      <w:r>
        <w:t xml:space="preserve"> </w:t>
      </w:r>
      <w:r>
        <w:t xml:space="preserve">do not deliver it: path-failure</w:t>
      </w:r>
      <w:r>
        <w:t xml:space="preserve"> </w:t>
      </w:r>
      <w:r>
        <w:rPr>
          <w:i/>
          <w:iCs/>
        </w:rPr>
        <w:t xml:space="preserve">detection</w:t>
      </w:r>
      <w:r>
        <w:t xml:space="preserve"> </w:t>
      </w:r>
      <w:r>
        <w:t xml:space="preserve">is BFD hello interval ×</w:t>
      </w:r>
      <w:r>
        <w:t xml:space="preserve"> </w:t>
      </w:r>
      <w:r>
        <w:t xml:space="preserve">multiplier, and common default profiles land in the high hundreds of</w:t>
      </w:r>
      <w:r>
        <w:t xml:space="preserve"> </w:t>
      </w:r>
      <w:r>
        <w:t xml:space="preserve">milliseconds to seconds. A user-visible impact in the tens of milliseconds</w:t>
      </w:r>
      <w:r>
        <w:t xml:space="preserve"> </w:t>
      </w:r>
      <w:r>
        <w:t xml:space="preserve">on a protected class generally requires</w:t>
      </w:r>
      <w:r>
        <w:t xml:space="preserve"> </w:t>
      </w:r>
      <w:r>
        <w:rPr>
          <w:b/>
          <w:bCs/>
        </w:rPr>
        <w:t xml:space="preserve">per-packet duplication or forward</w:t>
      </w:r>
      <w:r>
        <w:rPr>
          <w:b/>
          <w:bCs/>
        </w:rPr>
        <w:t xml:space="preserve"> </w:t>
      </w:r>
      <w:r>
        <w:rPr>
          <w:b/>
          <w:bCs/>
        </w:rPr>
        <w:t xml:space="preserve">error correction on that class</w:t>
      </w:r>
      <w:r>
        <w:t xml:space="preserve"> </w:t>
      </w:r>
      <w:r>
        <w:t xml:space="preserve">— which is a bandwidth cost (duplication</w:t>
      </w:r>
      <w:r>
        <w:t xml:space="preserve"> </w:t>
      </w:r>
      <w:r>
        <w:t xml:space="preserve">doubles the protected class’s consumption; FEC adds its coding overhead)</w:t>
      </w:r>
      <w:r>
        <w:t xml:space="preserve"> </w:t>
      </w:r>
      <w:r>
        <w:t xml:space="preserve">that belongs in the design, not in the fine print. The OrgComp reference</w:t>
      </w:r>
      <w:r>
        <w:t xml:space="preserve"> </w:t>
      </w:r>
      <w:r>
        <w:t xml:space="preserve">configuration names the tuned BFD profile and confines duplication/FEC to</w:t>
      </w:r>
      <w:r>
        <w:t xml:space="preserve"> </w:t>
      </w:r>
      <w:r>
        <w:t xml:space="preserve">the voice and interactive classes where the budget justifies it.</w:t>
      </w:r>
    </w:p>
    <w:p>
      <w:pPr>
        <w:pStyle w:val="BodyText"/>
      </w:pPr>
      <w:r>
        <w:t xml:space="preserve">Two structural consequences matter beyond user experience. First,</w:t>
      </w:r>
      <w:r>
        <w:t xml:space="preserve"> </w:t>
      </w:r>
      <w:r>
        <w:rPr>
          <w:b/>
          <w:bCs/>
        </w:rPr>
        <w:t xml:space="preserve">asymmetric routing is removed by construction — for overlay-carried</w:t>
      </w:r>
      <w:r>
        <w:rPr>
          <w:b/>
          <w:bCs/>
        </w:rPr>
        <w:t xml:space="preserve"> </w:t>
      </w:r>
      <w:r>
        <w:rPr>
          <w:b/>
          <w:bCs/>
        </w:rPr>
        <w:t xml:space="preserve">flows</w:t>
      </w:r>
      <w:r>
        <w:t xml:space="preserve">: both directions of an overlay-encapsulated site-to-site</w:t>
      </w:r>
      <w:r>
        <w:t xml:space="preserve"> </w:t>
      </w:r>
      <w:r>
        <w:t xml:space="preserve">conversation enter and exit the same edge pair, so the stateful-middlebox</w:t>
      </w:r>
      <w:r>
        <w:t xml:space="preserve"> </w:t>
      </w:r>
      <w:r>
        <w:t xml:space="preserve">failure mode — SYN out one path, SYN-ACK back another, handshake never</w:t>
      </w:r>
      <w:r>
        <w:t xml:space="preserve"> </w:t>
      </w:r>
      <w:r>
        <w:t xml:space="preserve">completes — cannot occur above the overlay. Scope the claim honestly: it</w:t>
      </w:r>
      <w:r>
        <w:t xml:space="preserve"> </w:t>
      </w:r>
      <w:r>
        <w:t xml:space="preserve">does not cover locally broken-out internet and Optimize flows (which never</w:t>
      </w:r>
      <w:r>
        <w:t xml:space="preserve"> </w:t>
      </w:r>
      <w:r>
        <w:t xml:space="preserve">enter the overlay), dual-edge sites with independent breakout, or</w:t>
      </w:r>
      <w:r>
        <w:t xml:space="preserve"> </w:t>
      </w:r>
      <w:r>
        <w:t xml:space="preserve">multi-hub ECMP designs — those paths need conventional</w:t>
      </w:r>
      <w:r>
        <w:t xml:space="preserve"> </w:t>
      </w:r>
      <w:r>
        <w:t xml:space="preserve">symmetric-routing discipline.</w:t>
      </w:r>
    </w:p>
    <w:p>
      <w:pPr>
        <w:pStyle w:val="BodyText"/>
      </w:pPr>
      <w:bookmarkStart w:id="66" w:name="fig-asymmetric-routing"/>
      <w:r>
        <w:drawing>
          <ns1:inline>
            <ns1:extent cx="5334000" cy="3155950"/>
            <ns1:effectExtent b="0" l="0" r="0" t="0"/>
            <ns1:docPr descr="Asymmetric routing — broken with perfect latency, structurally removed by the overlay" title="" id="64" name="Picture"/>
            <ns2:graphic>
              <ns2:graphicData uri="http://schemas.openxmlformats.org/drawingml/2006/picture">
                <ns3:pic>
                  <ns3:nvPicPr>
                    <ns3:cNvPr descr="../orgcomp-series/figs/mf-fig-17-asymmetric-routing.svg" id="65" name="Picture"/>
                    <ns3:cNvPicPr>
                      <ns2:picLocks noChangeArrowheads="1" noChangeAspect="1"/>
                    </ns3:cNvPicPr>
                  </ns3:nvPicPr>
                  <ns3:blipFill>
                    <ns2:blip>
                      <ns2:extLst>
                        <ns2:ext uri="{28A0092B-C50C-407E-A947-70E740481C1C}">
                          <ns7:useLocalDpi val="0"/>
                        </ns2:ext>
                        <ns2:ext uri="{96DAC541-7B7A-43D3-8B79-37D633B846F1}">
                          <ns8:svgBlip r:embed="rId63"/>
                        </ns2:ext>
                      </ns2:extLst>
                    </ns2:blip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334000" cy="315595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bookmarkEnd w:id="66"/>
      <w:r>
        <w:t xml:space="preserve"> </w:t>
      </w:r>
      <w:r>
        <w:t xml:space="preserve">Second,</w:t>
      </w:r>
      <w:r>
        <w:t xml:space="preserve"> </w:t>
      </w: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b/>
          <w:bCs/>
        </w:rPr>
        <w:t xml:space="preserve">path decision is a logged event</w:t>
      </w:r>
      <w:r>
        <w:t xml:space="preserve">, which converts multipath from an audit</w:t>
      </w:r>
      <w:r>
        <w:t xml:space="preserve"> </w:t>
      </w:r>
      <w:r>
        <w:t xml:space="preserve">liability (four uncorrelated pipes) into an audit asset (one decision log).</w:t>
      </w:r>
      <w:r>
        <w:t xml:space="preserve"> </w:t>
      </w:r>
      <w:hyperlink r:id="rId28">
        <w:r>
          <w:rPr>
            <w:rStyle w:val="Hyperlink"/>
          </w:rPr>
          <w:t xml:space="preserve">Vol I Book 05</w:t>
        </w:r>
      </w:hyperlink>
      <w:r>
        <w:t xml:space="preserve"> </w:t>
      </w:r>
      <w:r>
        <w:t xml:space="preserve">develops both, including the corrected Kerberos-under-failover analysis in</w:t>
      </w:r>
      <w:r>
        <w:t xml:space="preserve"> </w:t>
      </w:r>
      <w:hyperlink r:id="rId67">
        <w:r>
          <w:rPr>
            <w:rStyle w:val="Hyperlink"/>
          </w:rPr>
          <w:t xml:space="preserve">Vol I Book 03</w:t>
        </w:r>
      </w:hyperlink>
      <w:r>
        <w:t xml:space="preserve">.</w:t>
      </w:r>
    </w:p>
    <w:bookmarkEnd w:id="68"/>
    <w:bookmarkStart w:id="75" w:name="Xb0bf6ba399c596a196437916deede2d3853320e"/>
    <w:p>
      <w:pPr>
        <w:pStyle w:val="Heading3"/>
      </w:pPr>
      <w:r>
        <w:t xml:space="preserve">5.5 The M365 case — steering</w:t>
      </w:r>
      <w:r>
        <w:t xml:space="preserve"> </w:t>
      </w:r>
      <w:r>
        <w:rPr>
          <w:i/>
          <w:iCs/>
        </w:rPr>
        <w:t xml:space="preserve">around</w:t>
      </w:r>
      <w:r>
        <w:t xml:space="preserve"> </w:t>
      </w:r>
      <w:r>
        <w:t xml:space="preserve">the overlay, on purpose</w:t>
      </w:r>
    </w:p>
    <w:p>
      <w:pPr>
        <w:pStyle w:val="FirstParagraph"/>
      </w:pPr>
      <w:r>
        <w:t xml:space="preserve">Microsoft’s network connectivity principles instruct agencies to egress</w:t>
      </w:r>
      <w:r>
        <w:t xml:space="preserve"> </w:t>
      </w:r>
      <w:r>
        <w:t xml:space="preserve">M365 traffic locally, avoid hairpins, and give</w:t>
      </w:r>
      <w:r>
        <w:t xml:space="preserve"> </w:t>
      </w:r>
      <w:r>
        <w:rPr>
          <w:b/>
          <w:bCs/>
        </w:rPr>
        <w:t xml:space="preserve">Optimize</w:t>
      </w:r>
      <w:r>
        <w:t xml:space="preserve">-category</w:t>
      </w:r>
      <w:r>
        <w:t xml:space="preserve"> </w:t>
      </w:r>
      <w:r>
        <w:t xml:space="preserve">endpoints (Teams media above all) no inspection, no proxy, no detour. An</w:t>
      </w:r>
      <w:r>
        <w:t xml:space="preserve"> </w:t>
      </w:r>
      <w:r>
        <w:t xml:space="preserve">SD-WAN deployment honoring that guidance — Cloud OnRamp probing the M365</w:t>
      </w:r>
      <w:r>
        <w:t xml:space="preserve"> </w:t>
      </w:r>
      <w:r>
        <w:t xml:space="preserve">front door across every transport and steering Teams media to the</w:t>
      </w:r>
      <w:r>
        <w:t xml:space="preserve"> </w:t>
      </w:r>
      <w:r>
        <w:t xml:space="preserve">best-measured local path — may carry Optimize flows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the IPsec</w:t>
      </w:r>
      <w:r>
        <w:t xml:space="preserve"> </w:t>
      </w:r>
      <w:r>
        <w:t xml:space="preserve">overlay entirely.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inr-routing"/>
          <w:p>
            <w:pPr>
              <w:pStyle w:val="Compact"/>
              <w:jc w:val="center"/>
            </w:pPr>
            <w:r>
              <w:drawing>
                <ns1:inline>
                  <ns1:extent cx="5334000" cy="3111500"/>
                  <ns1:effectExtent b="0" l="0" r="0" t="0"/>
                  <ns1:docPr descr="" title="" id="70" name="Picture"/>
                  <ns2:graphic>
                    <ns2:graphicData uri="http://schemas.openxmlformats.org/drawingml/2006/picture">
                      <ns3:pic>
                        <ns3:nvPicPr>
                          <ns3:cNvPr descr="../orgcomp-series/figs/mf-fig-16-inr-routing.svg" id="7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>
                            <ns2:extLst>
                              <ns2:ext uri="{28A0092B-C50C-407E-A947-70E740481C1C}">
                                <ns7:useLocalDpi val="0"/>
                              </ns2:ext>
                              <ns2:ext uri="{96DAC541-7B7A-43D3-8B79-37D633B846F1}">
                                <ns8:svgBlip r:embed="rId69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1115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Microsoft 365 local breakout vs. backhaul — the front door matters more than the destination</w:t>
            </w:r>
          </w:p>
          <w:bookmarkEnd w:id="72"/>
        </w:tc>
      </w:tr>
    </w:tbl>
    <w:p>
      <w:pPr>
        <w:pStyle w:val="BodyText"/>
      </w:pPr>
      <w:r>
        <w:t xml:space="preserve">For SC-8, that is the per-flow concession of Part 7 made deliberate:</w:t>
      </w:r>
      <w:r>
        <w:t xml:space="preserve"> </w:t>
      </w:r>
      <w:r>
        <w:t xml:space="preserve">Optimize flows carry their own FIPS-validated encryption (TLS; SRTP for</w:t>
      </w:r>
      <w:r>
        <w:t xml:space="preserve"> </w:t>
      </w:r>
      <w:r>
        <w:t xml:space="preserve">media), and the overlay continues to encrypt every flow that does not. But</w:t>
      </w:r>
      <w:r>
        <w:t xml:space="preserve"> </w:t>
      </w:r>
      <w:r>
        <w:t xml:space="preserve">the honesty clause cannot stop at SC-8, because</w:t>
      </w:r>
      <w:r>
        <w:t xml:space="preserve"> </w:t>
      </w:r>
      <w:r>
        <w:rPr>
          <w:b/>
          <w:bCs/>
        </w:rPr>
        <w:t xml:space="preserve">the same carve-out</w:t>
      </w:r>
      <w:r>
        <w:rPr>
          <w:b/>
          <w:bCs/>
        </w:rPr>
        <w:t xml:space="preserve"> </w:t>
      </w:r>
      <w:r>
        <w:rPr>
          <w:b/>
          <w:bCs/>
        </w:rPr>
        <w:t xml:space="preserve">punctures the inspection controls identically</w:t>
      </w:r>
      <w:r>
        <w:t xml:space="preserve">: a flow that bypasses the</w:t>
      </w:r>
      <w:r>
        <w:t xml:space="preserve"> </w:t>
      </w:r>
      <w:r>
        <w:t xml:space="preserve">proxy has no SWG inline inspection (SI-3), no visibility into the content</w:t>
      </w:r>
      <w:r>
        <w:t xml:space="preserve"> </w:t>
      </w:r>
      <w:r>
        <w:t xml:space="preserve">of encrypted communications (</w:t>
      </w:r>
      <w:r>
        <w:rPr>
          <w:b/>
          <w:bCs/>
        </w:rPr>
        <w:t xml:space="preserve">SI-4(10)</w:t>
      </w:r>
      <w:r>
        <w:t xml:space="preserve">, satisfied for proxied flows by</w:t>
      </w:r>
      <w:r>
        <w:t xml:space="preserve"> </w:t>
      </w:r>
      <w:r>
        <w:t xml:space="preserve">the SWG’s TLS break-and-inspect and absent by design for Optimize-bypassed</w:t>
      </w:r>
      <w:r>
        <w:t xml:space="preserve"> </w:t>
      </w:r>
      <w:r>
        <w:t xml:space="preserve">flows), no CASB flow enforcement (AC-4), and no application-layer audit</w:t>
      </w:r>
      <w:r>
        <w:t xml:space="preserve"> </w:t>
      </w:r>
      <w:r>
        <w:t xml:space="preserve">record. Records are still</w:t>
      </w:r>
      <w:r>
        <w:t xml:space="preserve"> </w:t>
      </w:r>
      <w:r>
        <w:rPr>
          <w:i/>
          <w:iCs/>
        </w:rPr>
        <w:t xml:space="preserve">generated</w:t>
      </w:r>
      <w:r>
        <w:t xml:space="preserve"> </w:t>
      </w:r>
      <w:r>
        <w:t xml:space="preserve">for those flows, so what degrades is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— an AU-3 requirement, which AU-12 incorporates by</w:t>
      </w:r>
      <w:r>
        <w:t xml:space="preserve"> </w:t>
      </w:r>
      <w:r>
        <w:t xml:space="preserve">reference: five-tuple plus steering metadata on encrypted media, not</w:t>
      </w:r>
      <w:r>
        <w:t xml:space="preserve"> </w:t>
      </w:r>
      <w:r>
        <w:t xml:space="preserve">“user,</w:t>
      </w:r>
      <w:r>
        <w:t xml:space="preserve"> </w:t>
      </w:r>
      <w:r>
        <w:t xml:space="preserve">device, app, action, data type.”</w:t>
      </w:r>
    </w:p>
    <w:p>
      <w:pPr>
        <w:pStyle w:val="BodyText"/>
      </w:pPr>
      <w:r>
        <w:t xml:space="preserve">One case looks like a hard contradiction and is not — but only if the</w:t>
      </w:r>
      <w:r>
        <w:t xml:space="preserve"> </w:t>
      </w:r>
      <w:r>
        <w:t xml:space="preserve">agency does something about it. Tenant-to-tenant exfiltration over an</w:t>
      </w:r>
      <w:r>
        <w:t xml:space="preserve"> </w:t>
      </w:r>
      <w:r>
        <w:t xml:space="preserve">Optimize-categorized path is exactly the case an assessor will construct. The natural answer concedes it:</w:t>
      </w:r>
      <w:r>
        <w:t xml:space="preserve"> </w:t>
      </w:r>
      <w:r>
        <w:t xml:space="preserve">Microsoft’s</w:t>
      </w:r>
      <w:r>
        <w:t xml:space="preserve"> </w:t>
      </w:r>
      <w:r>
        <w:rPr>
          <w:b/>
          <w:bCs/>
        </w:rPr>
        <w:t xml:space="preserve">tenant restrictions v2</w:t>
      </w:r>
      <w:r>
        <w:t xml:space="preserve"> </w:t>
      </w:r>
      <w:r>
        <w:t xml:space="preserve">is enforced by header injection at</w:t>
      </w:r>
      <w:r>
        <w:t xml:space="preserve"> </w:t>
      </w:r>
      <w:r>
        <w:t xml:space="preserve">an in-path proxy, so a proxy-bypassed flow cannot carry it. That answer is</w:t>
      </w:r>
      <w:r>
        <w:t xml:space="preserve"> </w:t>
      </w:r>
      <w:r>
        <w:t xml:space="preserve">wrong, and worth correcting precisely because it is the intuitive one.</w:t>
      </w:r>
      <w:r>
        <w:t xml:space="preserve"> </w:t>
      </w:r>
      <w:r>
        <w:t xml:space="preserve">Proxy enforcement is the tenant restrictions</w:t>
      </w:r>
      <w:r>
        <w:t xml:space="preserve"> </w:t>
      </w:r>
      <w:r>
        <w:rPr>
          <w:b/>
          <w:bCs/>
        </w:rPr>
        <w:t xml:space="preserve">v1</w:t>
      </w:r>
      <w:r>
        <w:t xml:space="preserve"> </w:t>
      </w:r>
      <w:r>
        <w:t xml:space="preserve">model. Under v2 it</w:t>
      </w:r>
      <w:r>
        <w:t xml:space="preserve"> </w:t>
      </w:r>
      <w:r>
        <w:t xml:space="preserve">survives as one of three enforcement paths for a single cross-tenant access</w:t>
      </w:r>
      <w:r>
        <w:t xml:space="preserve"> </w:t>
      </w:r>
      <w:r>
        <w:t xml:space="preserve">policy, and it is the</w:t>
      </w:r>
      <w:r>
        <w:t xml:space="preserve"> </w:t>
      </w:r>
      <w:r>
        <w:rPr>
          <w:i/>
          <w:iCs/>
        </w:rPr>
        <w:t xml:space="preserve">weakest</w:t>
      </w:r>
      <w:r>
        <w:t xml:space="preserve"> </w:t>
      </w:r>
      <w:r>
        <w:t xml:space="preserve">of the three — the only one that reaches</w:t>
      </w:r>
      <w:r>
        <w:t xml:space="preserve"> </w:t>
      </w:r>
      <w:r>
        <w:t xml:space="preserve">the authentication plane alone and never the data plane.</w:t>
      </w:r>
      <w:r>
        <w:t xml:space="preserve"> </w:t>
      </w:r>
      <w:hyperlink r:id="rId73">
        <w:r>
          <w:rPr>
            <w:rStyle w:val="Hyperlink"/>
          </w:rPr>
          <w:t xml:space="preserve">Microsoft’s setup guidance</w:t>
        </w:r>
      </w:hyperlink>
      <w:r>
        <w:t xml:space="preserve"> </w:t>
      </w:r>
      <w:r>
        <w:t xml:space="preserve">documents two paths that need no proxy:</w:t>
      </w:r>
      <w:r>
        <w:t xml:space="preserve"> </w:t>
      </w:r>
      <w:r>
        <w:rPr>
          <w:b/>
          <w:bCs/>
        </w:rPr>
        <w:t xml:space="preserve">Windows Group Policy signaling</w:t>
      </w:r>
      <w:r>
        <w:t xml:space="preserve"> </w:t>
      </w:r>
      <w:r>
        <w:t xml:space="preserve">on corporate-owned devices, which carries both authentication-plane and</w:t>
      </w:r>
      <w:r>
        <w:t xml:space="preserve"> </w:t>
      </w:r>
      <w:r>
        <w:t xml:space="preserve">data-plane protection with policy evaluation still in the cloud, and</w:t>
      </w:r>
      <w:r>
        <w:t xml:space="preserve"> </w:t>
      </w:r>
      <w:r>
        <w:rPr>
          <w:b/>
          <w:bCs/>
        </w:rPr>
        <w:t xml:space="preserve">universal tenant restrictions via Global Secure Access</w:t>
      </w:r>
      <w:r>
        <w:t xml:space="preserve">, which covers</w:t>
      </w:r>
      <w:r>
        <w:t xml:space="preserve"> </w:t>
      </w:r>
      <w:r>
        <w:t xml:space="preserve">the authentication plane on every platform and the data plane for Microsoft</w:t>
      </w:r>
      <w:r>
        <w:t xml:space="preserve"> </w:t>
      </w:r>
      <w:r>
        <w:t xml:space="preserve">Graph only.</w:t>
      </w:r>
    </w:p>
    <w:p>
      <w:pPr>
        <w:pStyle w:val="BodyText"/>
      </w:pPr>
      <w:r>
        <w:t xml:space="preserve">The control therefore does not vanish with the proxy. It moves to the</w:t>
      </w:r>
      <w:r>
        <w:t xml:space="preserve"> </w:t>
      </w:r>
      <w:r>
        <w:t xml:space="preserve">endpoint, where the coverage is better than what the proxy provided. Two</w:t>
      </w:r>
      <w:r>
        <w:t xml:space="preserve"> </w:t>
      </w:r>
      <w:r>
        <w:t xml:space="preserve">limits keep that honest. The Group Policy path covers Office applications,</w:t>
      </w:r>
      <w:r>
        <w:t xml:space="preserve"> </w:t>
      </w:r>
      <w:r>
        <w:t xml:space="preserve">Universal Windows Platform .NET applications and Microsoft Edge — non-Edge</w:t>
      </w:r>
      <w:r>
        <w:t xml:space="preserve"> </w:t>
      </w:r>
      <w:r>
        <w:t xml:space="preserve">browsers and non-Windows devices at an exempted site fall outside it and</w:t>
      </w:r>
      <w:r>
        <w:t xml:space="preserve"> </w:t>
      </w:r>
      <w:r>
        <w:t xml:space="preserve">have to be enumerated rather than assumed away. And</w:t>
      </w:r>
      <w:r>
        <w:t xml:space="preserve"> </w:t>
      </w:r>
      <w:hyperlink r:id="rId74">
        <w:r>
          <w:rPr>
            <w:rStyle w:val="Hyperlink"/>
          </w:rPr>
          <w:t xml:space="preserve">the Entra federal crosswalk</w:t>
        </w:r>
      </w:hyperlink>
      <w:r>
        <w:t xml:space="preserve"> </w:t>
      </w:r>
      <w:r>
        <w:t xml:space="preserve">records Global Secure Access as non-FIPS in GCC Moderate and unavailable in</w:t>
      </w:r>
      <w:r>
        <w:t xml:space="preserve"> </w:t>
      </w:r>
      <w:r>
        <w:t xml:space="preserve">GCC High and DoD, which makes Group Policy signaling the path a FedRAMP</w:t>
      </w:r>
      <w:r>
        <w:t xml:space="preserve"> </w:t>
      </w:r>
      <w:r>
        <w:t xml:space="preserve">Moderate agency can actually rely on rather than one option among equals.</w:t>
      </w:r>
      <w:r>
        <w:t xml:space="preserve"> </w:t>
      </w:r>
      <w:r>
        <w:t xml:space="preserve">Device-side signaling</w:t>
      </w:r>
      <w:r>
        <w:t xml:space="preserve"> </w:t>
      </w:r>
      <w:r>
        <w:rPr>
          <w:i/>
          <w:iCs/>
        </w:rPr>
        <w:t xml:space="preserve">configured and verified</w:t>
      </w:r>
      <w:r>
        <w:t xml:space="preserve"> </w:t>
      </w:r>
      <w:r>
        <w:t xml:space="preserve">is a precondition of the</w:t>
      </w:r>
      <w:r>
        <w:t xml:space="preserve"> </w:t>
      </w:r>
      <w:r>
        <w:t xml:space="preserve">carve-out, not a footnote to it.</w:t>
      </w:r>
    </w:p>
    <w:p>
      <w:pPr>
        <w:pStyle w:val="BodyText"/>
      </w:pPr>
      <w:r>
        <w:t xml:space="preserve">The compliant shape of the carve-out is therefore not</w:t>
      </w:r>
      <w:r>
        <w:t xml:space="preserve"> </w:t>
      </w:r>
      <w:r>
        <w:t xml:space="preserve">“the steering log</w:t>
      </w:r>
      <w:r>
        <w:t xml:space="preserve"> </w:t>
      </w:r>
      <w:r>
        <w:t xml:space="preserve">says so”</w:t>
      </w:r>
      <w:r>
        <w:t xml:space="preserve"> </w:t>
      </w:r>
      <w:r>
        <w:t xml:space="preserve">— documentation alone is not a compensating control. It is</w:t>
      </w:r>
      <w:r>
        <w:t xml:space="preserve"> </w:t>
      </w:r>
      <w:r>
        <w:rPr>
          <w:b/>
          <w:bCs/>
        </w:rPr>
        <w:t xml:space="preserve">SC-7(4)’s documented traffic-flow exception discipline</w:t>
      </w:r>
      <w:r>
        <w:t xml:space="preserve">: each</w:t>
      </w:r>
      <w:r>
        <w:t xml:space="preserve"> </w:t>
      </w:r>
      <w:r>
        <w:t xml:space="preserve">Optimize-category bypass recorded as a named exception with its supporting</w:t>
      </w:r>
      <w:r>
        <w:t xml:space="preserve"> </w:t>
      </w:r>
      <w:r>
        <w:t xml:space="preserve">mission need, reviewed on a cadence, with the steering log as the</w:t>
      </w:r>
      <w:r>
        <w:t xml:space="preserve"> </w:t>
      </w:r>
      <w:r>
        <w:rPr>
          <w:i/>
          <w:iCs/>
        </w:rPr>
        <w:t xml:space="preserve">enforcement evidence</w:t>
      </w:r>
      <w:r>
        <w:t xml:space="preserve"> </w:t>
      </w:r>
      <w:r>
        <w:t xml:space="preserve">that the exception’s boundaries hold — plus</w:t>
      </w:r>
      <w:r>
        <w:t xml:space="preserve"> </w:t>
      </w:r>
      <w:r>
        <w:t xml:space="preserve">compensating controls where they exist (identity-tier conditional access;</w:t>
      </w:r>
      <w:r>
        <w:t xml:space="preserve"> </w:t>
      </w:r>
      <w:r>
        <w:t xml:space="preserve">tenant allow-listing re-signaled from the endpoint rather than the proxy,</w:t>
      </w:r>
      <w:r>
        <w:t xml:space="preserve"> </w:t>
      </w:r>
      <w:r>
        <w:t xml:space="preserve">per the paragraphs above; endpoint DLP for content controls the network</w:t>
      </w:r>
      <w:r>
        <w:t xml:space="preserve"> </w:t>
      </w:r>
      <w:r>
        <w:t xml:space="preserve">cannot see). Part 7’s ledger</w:t>
      </w:r>
      <w:r>
        <w:t xml:space="preserve"> </w:t>
      </w:r>
      <w:r>
        <w:t xml:space="preserve">carries an explicit</w:t>
      </w:r>
      <w:r>
        <w:t xml:space="preserve"> </w:t>
      </w:r>
      <w:r>
        <w:t xml:space="preserve">“applies to”</w:t>
      </w:r>
      <w:r>
        <w:t xml:space="preserve"> </w:t>
      </w:r>
      <w:r>
        <w:t xml:space="preserve">scoping per control so the exception is</w:t>
      </w:r>
      <w:r>
        <w:t xml:space="preserve"> </w:t>
      </w:r>
      <w:r>
        <w:t xml:space="preserve">visible where an assessor will look for it.</w:t>
      </w:r>
      <w:r>
        <w:t xml:space="preserve"> </w:t>
      </w:r>
      <w:hyperlink r:id="rId28">
        <w:r>
          <w:rPr>
            <w:rStyle w:val="Hyperlink"/>
          </w:rPr>
          <w:t xml:space="preserve">Vol I Book 05’s M365 appendix</w:t>
        </w:r>
      </w:hyperlink>
      <w:r>
        <w:t xml:space="preserve"> </w:t>
      </w:r>
      <w:r>
        <w:t xml:space="preserve">carries the build, including the GCC Moderate caveat that Microsoft’s</w:t>
      </w:r>
      <w:r>
        <w:t xml:space="preserve"> </w:t>
      </w:r>
      <w:r>
        <w:t xml:space="preserve">Informed Network Routing telemetry is unavailable in that cloud and</w:t>
      </w:r>
      <w:r>
        <w:t xml:space="preserve"> </w:t>
      </w:r>
      <w:r>
        <w:t xml:space="preserve">probe-based steering is the implementation.</w:t>
      </w:r>
    </w:p>
    <w:bookmarkEnd w:id="75"/>
    <w:bookmarkStart w:id="77" w:name="the-flows-the-honesty-clause-names-dns"/>
    <w:p>
      <w:pPr>
        <w:pStyle w:val="Heading3"/>
      </w:pPr>
      <w:r>
        <w:t xml:space="preserve">5.6 The flows the honesty clause names: DNS</w:t>
      </w:r>
    </w:p>
    <w:p>
      <w:pPr>
        <w:pStyle w:val="FirstParagraph"/>
      </w:pPr>
      <w:r>
        <w:t xml:space="preserve">Part 7’s honesty clause lists DNS among the flows that ride the circuit</w:t>
      </w:r>
      <w:r>
        <w:t xml:space="preserve"> </w:t>
      </w:r>
      <w:r>
        <w:t xml:space="preserve">bare — and DNS deserves more than a mention, because</w:t>
      </w:r>
      <w:r>
        <w:t xml:space="preserve"> </w:t>
      </w:r>
      <w:r>
        <w:rPr>
          <w:b/>
          <w:bCs/>
        </w:rPr>
        <w:t xml:space="preserve">Protective DNS is a</w:t>
      </w:r>
      <w:r>
        <w:rPr>
          <w:b/>
          <w:bCs/>
        </w:rPr>
        <w:t xml:space="preserve"> </w:t>
      </w:r>
      <w:r>
        <w:rPr>
          <w:b/>
          <w:bCs/>
        </w:rPr>
        <w:t xml:space="preserve">TIC security capability and a mandated federal shared service</w:t>
      </w:r>
      <w:r>
        <w:t xml:space="preserve">, and local</w:t>
      </w:r>
      <w:r>
        <w:t xml:space="preserve"> </w:t>
      </w:r>
      <w:r>
        <w:t xml:space="preserve">breakout changes the branch’s resolution story twice. First, every DIA</w:t>
      </w:r>
      <w:r>
        <w:t xml:space="preserve"> </w:t>
      </w:r>
      <w:r>
        <w:t xml:space="preserve">egress must resolve through the agency’s protective resolver (in the</w:t>
      </w:r>
      <w:r>
        <w:t xml:space="preserve"> </w:t>
      </w:r>
      <w:r>
        <w:t xml:space="preserve">OrgComp reference build, the DDI platform’s RPZ with the CISA Protective</w:t>
      </w:r>
      <w:r>
        <w:t xml:space="preserve"> </w:t>
      </w:r>
      <w:r>
        <w:t xml:space="preserve">DNS feed —</w:t>
      </w:r>
      <w:r>
        <w:t xml:space="preserve"> </w:t>
      </w:r>
      <w:hyperlink r:id="rId76">
        <w:r>
          <w:rPr>
            <w:rStyle w:val="Hyperlink"/>
          </w:rPr>
          <w:t xml:space="preserve">Vol I Book 01</w:t>
        </w:r>
      </w:hyperlink>
      <w:r>
        <w:t xml:space="preserve">);</w:t>
      </w:r>
      <w:r>
        <w:t xml:space="preserve"> </w:t>
      </w:r>
      <w:r>
        <w:t xml:space="preserve">a branch whose DNS follows the default route to the ISP resolver has opened</w:t>
      </w:r>
      <w:r>
        <w:t xml:space="preserve"> </w:t>
      </w:r>
      <w:r>
        <w:t xml:space="preserve">an unmonitored control channel regardless of how good the overlay is.</w:t>
      </w:r>
      <w:r>
        <w:t xml:space="preserve"> </w:t>
      </w:r>
      <w:r>
        <w:t xml:space="preserve">Second, local breakout breaks split-horizon assumptions: a branch that</w:t>
      </w:r>
      <w:r>
        <w:t xml:space="preserve"> </w:t>
      </w:r>
      <w:r>
        <w:t xml:space="preserve">resolves internal names via the overlay and external names via local</w:t>
      </w:r>
      <w:r>
        <w:t xml:space="preserve"> </w:t>
      </w:r>
      <w:r>
        <w:t xml:space="preserve">breakout needs its resolution policy designed, not inherited. SC-20/SC-21</w:t>
      </w:r>
      <w:r>
        <w:t xml:space="preserve"> </w:t>
      </w:r>
      <w:r>
        <w:t xml:space="preserve">closure on the branch path is a naming-plane function and lives with the</w:t>
      </w:r>
      <w:r>
        <w:t xml:space="preserve"> </w:t>
      </w:r>
      <w:r>
        <w:t xml:space="preserve">DDI books, but a transport paper that names DNS as a bare flow owes the</w:t>
      </w:r>
      <w:r>
        <w:t xml:space="preserve"> </w:t>
      </w:r>
      <w:r>
        <w:t xml:space="preserve">reader the pointer.</w:t>
      </w:r>
    </w:p>
    <w:p>
      <w:r>
        <w:pict>
          <ns5:rect style="width:0;height:1.5pt" ns6:hralign="center" ns6:hrstd="t" ns6:hr="t"/>
        </w:pict>
      </w:r>
    </w:p>
    <w:bookmarkEnd w:id="77"/>
    <w:bookmarkEnd w:id="78"/>
    <w:bookmarkStart w:id="79" w:name="Xf5d58e87bae6de47645fe465f726d4f29985440"/>
    <w:p>
      <w:pPr>
        <w:pStyle w:val="Heading2"/>
      </w:pPr>
      <w:r>
        <w:t xml:space="preserve">Part 6 — The Governor Is Also Attack Surface</w:t>
      </w:r>
    </w:p>
    <w:p>
      <w:pPr>
        <w:pStyle w:val="FirstParagraph"/>
      </w:pPr>
      <w:r>
        <w:t xml:space="preserve">A paper that credits the governor with eight control closures owes the</w:t>
      </w:r>
      <w:r>
        <w:t xml:space="preserve"> </w:t>
      </w:r>
      <w:r>
        <w:t xml:space="preserve">reader the other side of the entry: the governor is the most valuable</w:t>
      </w:r>
      <w:r>
        <w:t xml:space="preserve"> </w:t>
      </w:r>
      <w:r>
        <w:t xml:space="preserve">target on the WAN. Two structural facts drive the risk.</w:t>
      </w:r>
    </w:p>
    <w:p>
      <w:pPr>
        <w:pStyle w:val="BodyText"/>
      </w:pPr>
      <w:r>
        <w:rPr>
          <w:b/>
          <w:bCs/>
        </w:rPr>
        <w:t xml:space="preserve">The controller has agency-wide blast radius.</w:t>
      </w:r>
      <w:r>
        <w:t xml:space="preserve"> </w:t>
      </w:r>
      <w:r>
        <w:t xml:space="preserve">An SD-WAN orchestrator</w:t>
      </w:r>
      <w:r>
        <w:t xml:space="preserve"> </w:t>
      </w:r>
      <w:r>
        <w:t xml:space="preserve">holds routing and policy authority over every branch simultaneously; a</w:t>
      </w:r>
      <w:r>
        <w:t xml:space="preserve"> </w:t>
      </w:r>
      <w:r>
        <w:t xml:space="preserve">compromise is not a site incident but an enterprise event. This is not</w:t>
      </w:r>
      <w:r>
        <w:t xml:space="preserve"> </w:t>
      </w:r>
      <w:r>
        <w:t xml:space="preserve">hypothetical risk-register material: edge and management-plane products are</w:t>
      </w:r>
      <w:r>
        <w:t xml:space="preserve"> </w:t>
      </w:r>
      <w:r>
        <w:t xml:space="preserve">among the most actively exploited categories in federal networks, and the</w:t>
      </w:r>
      <w:r>
        <w:t xml:space="preserve"> </w:t>
      </w:r>
      <w:r>
        <w:t xml:space="preserve">canonical SD-WAN example — the Versa Director vulnerability</w:t>
      </w:r>
      <w:r>
        <w:t xml:space="preserve"> </w:t>
      </w:r>
      <w:r>
        <w:t xml:space="preserve">CVE-2024-39717, KEV-listed and attributed with</w:t>
      </w:r>
      <w:r>
        <w:t xml:space="preserve"> </w:t>
      </w:r>
      <w:r>
        <w:rPr>
          <w:b/>
          <w:bCs/>
        </w:rPr>
        <w:t xml:space="preserve">moderate confidence</w:t>
      </w:r>
      <w:r>
        <w:t xml:space="preserve"> </w:t>
      </w:r>
      <w:r>
        <w:t xml:space="preserve">by</w:t>
      </w:r>
      <w:r>
        <w:t xml:space="preserve"> </w:t>
      </w:r>
      <w:r>
        <w:t xml:space="preserve">Lumen Black Lotus Labs to Volt Typhoon activity — is precisely a compromise</w:t>
      </w:r>
      <w:r>
        <w:t xml:space="preserve"> </w:t>
      </w:r>
      <w:r>
        <w:t xml:space="preserve">of the governor, not the pipe. The</w:t>
      </w:r>
      <w:r>
        <w:t xml:space="preserve"> </w:t>
      </w:r>
      <w:r>
        <w:t xml:space="preserve">Ivanti and Fortinet edge-appliance campaigns are the same lesson from</w:t>
      </w:r>
      <w:r>
        <w:t xml:space="preserve"> </w:t>
      </w:r>
      <w:r>
        <w:t xml:space="preserve">adjacent categories.</w:t>
      </w:r>
    </w:p>
    <w:p>
      <w:pPr>
        <w:pStyle w:val="BodyText"/>
      </w:pPr>
      <w:r>
        <w:rPr>
          <w:b/>
          <w:bCs/>
        </w:rPr>
        <w:t xml:space="preserve">Distribution multiplies the exposed surface.</w:t>
      </w:r>
      <w:r>
        <w:t xml:space="preserve"> </w:t>
      </w:r>
      <w:r>
        <w:t xml:space="preserve">Moving from roughly two</w:t>
      </w:r>
      <w:r>
        <w:t xml:space="preserve"> </w:t>
      </w:r>
      <w:r>
        <w:t xml:space="preserve">hardened TIC egress points to a couple of hundred internet-facing edge</w:t>
      </w:r>
      <w:r>
        <w:t xml:space="preserve"> </w:t>
      </w:r>
      <w:r>
        <w:t xml:space="preserve">devices is a real increase in initial-access surface and a real loss of a</w:t>
      </w:r>
      <w:r>
        <w:t xml:space="preserve"> </w:t>
      </w:r>
      <w:r>
        <w:t xml:space="preserve">containment chokepoint. The design answer is not to un-distribute; it is</w:t>
      </w:r>
      <w:r>
        <w:t xml:space="preserve"> </w:t>
      </w:r>
      <w:r>
        <w:t xml:space="preserve">to treat the fleet as the security system it is.</w:t>
      </w:r>
    </w:p>
    <w:p>
      <w:pPr>
        <w:pStyle w:val="BodyText"/>
      </w:pPr>
      <w:r>
        <w:t xml:space="preserve">The controls an assessor will expect on the governor itself:</w:t>
      </w:r>
    </w:p>
    <w:p>
      <w:pPr>
        <w:pStyle w:val="TableCaption"/>
      </w:pPr>
      <w:r>
        <w:t xml:space="preserve">The governor’s own ledger — the controls that protect the control plane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he governor’s own ledger — the controls that protect the control plan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Exposure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Design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 compromise</w:t>
            </w:r>
          </w:p>
        </w:tc>
        <w:tc>
          <w:tcPr/>
          <w:p>
            <w:pPr>
              <w:pStyle w:val="Compact"/>
            </w:pPr>
            <w:r>
              <w:t xml:space="preserve">AC-17, SC-7, IA-2</w:t>
            </w:r>
          </w:p>
        </w:tc>
        <w:tc>
          <w:tcPr/>
          <w:p>
            <w:pPr>
              <w:pStyle w:val="Compact"/>
            </w:pPr>
            <w:r>
              <w:t xml:space="preserve">Controller isolated from the data plane; out-of-band management network; ZTNA in front of the orchestrator; no management interface on the internet — the baseline CISA</w:t>
            </w:r>
            <w:r>
              <w:t xml:space="preserve"> </w:t>
            </w:r>
            <w:r>
              <w:rPr>
                <w:b/>
                <w:bCs/>
              </w:rPr>
              <w:t xml:space="preserve">Binding Operational Directive 23-02</w:t>
            </w:r>
            <w:r>
              <w:t xml:space="preserve"> </w:t>
            </w:r>
            <w:r>
              <w:t xml:space="preserve">(Mitigating the Risk from Internet-Exposed Management Interfaces) sets for routers, switches, firewalls, VPN concentrators, proxies, load-balancers, and OOB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device identity</w:t>
            </w:r>
          </w:p>
        </w:tc>
        <w:tc>
          <w:tcPr/>
          <w:p>
            <w:pPr>
              <w:pStyle w:val="Compact"/>
            </w:pPr>
            <w:r>
              <w:t xml:space="preserve">IA-3</w:t>
            </w:r>
          </w:p>
        </w:tc>
        <w:tc>
          <w:tcPr/>
          <w:p>
            <w:pPr>
              <w:pStyle w:val="Compact"/>
            </w:pPr>
            <w:r>
              <w:t xml:space="preserve">Certificate-based device authentication for every edge joining the fabric; no shared enrollment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key management</w:t>
            </w:r>
          </w:p>
        </w:tc>
        <w:tc>
          <w:tcPr/>
          <w:p>
            <w:pPr>
              <w:pStyle w:val="Compact"/>
            </w:pPr>
            <w:r>
              <w:t xml:space="preserve">SC-12, SC-13, SC-17</w:t>
            </w:r>
          </w:p>
        </w:tc>
        <w:tc>
          <w:tcPr/>
          <w:p>
            <w:pPr>
              <w:pStyle w:val="Compact"/>
            </w:pPr>
            <w:r>
              <w:t xml:space="preserve">Automated key establishment and rotation across the fleet; PKI-issued identities; documented CMVP module evidence per Section 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patch and vulnerability posture</w:t>
            </w:r>
          </w:p>
        </w:tc>
        <w:tc>
          <w:tcPr/>
          <w:p>
            <w:pPr>
              <w:pStyle w:val="Compact"/>
            </w:pPr>
            <w:r>
              <w:t xml:space="preserve">SI-2, RA-5</w:t>
            </w:r>
          </w:p>
        </w:tc>
        <w:tc>
          <w:tcPr/>
          <w:p>
            <w:pPr>
              <w:pStyle w:val="Compact"/>
            </w:pPr>
            <w:r>
              <w:t xml:space="preserve">Patch cadence and authenticated scanning stated for 200 sites, not asserted for one; KEV-listed CVEs on edge platforms treated as clock-started events under CISA</w:t>
            </w:r>
            <w:r>
              <w:t xml:space="preserve"> </w:t>
            </w:r>
            <w:r>
              <w:rPr>
                <w:b/>
                <w:bCs/>
              </w:rPr>
              <w:t xml:space="preserve">Binding Operational Directive 22-01</w:t>
            </w:r>
            <w:r>
              <w:t xml:space="preserve"> </w:t>
            </w:r>
            <w:r>
              <w:t xml:space="preserve">(Reducing the Significant Risk of Known Exploited Vulnerabilities), which established the KEV catalog and its CVE-specific remediation deadlines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integrity</w:t>
            </w:r>
          </w:p>
        </w:tc>
        <w:tc>
          <w:tcPr/>
          <w:p>
            <w:pPr>
              <w:pStyle w:val="Compact"/>
            </w:pPr>
            <w:r>
              <w:t xml:space="preserve">CM-3, CM-6, CM-7</w:t>
            </w:r>
          </w:p>
        </w:tc>
        <w:tc>
          <w:tcPr/>
          <w:p>
            <w:pPr>
              <w:pStyle w:val="Compact"/>
            </w:pPr>
            <w:r>
              <w:t xml:space="preserve">Template-driven configuration with change control; drift detection against the declared baseline; least functionality on every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</w:pPr>
            <w:r>
              <w:t xml:space="preserve">SR-3, SR-5</w:t>
            </w:r>
          </w:p>
        </w:tc>
        <w:tc>
          <w:tcPr/>
          <w:p>
            <w:pPr>
              <w:pStyle w:val="Compact"/>
            </w:pPr>
            <w:r>
              <w:t xml:space="preserve">Provenance and acquisition controls for the edge fleet and its controller — the same discipline Part 8 applies to transport acquisition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Containment when an edge falls</w:t>
            </w:r>
          </w:p>
        </w:tc>
        <w:tc>
          <w:tcPr/>
          <w:p>
            <w:pPr>
              <w:pStyle w:val="Compact"/>
            </w:pPr>
            <w:r>
              <w:t xml:space="preserve">IR-4</w:t>
            </w:r>
          </w:p>
        </w:tc>
        <w:tc>
          <w:tcPr/>
          <w:p>
            <w:pPr>
              <w:pStyle w:val="Compact"/>
            </w:pPr>
            <w:r>
              <w:t xml:space="preserve">A written answer to</w:t>
            </w:r>
            <w:r>
              <w:t xml:space="preserve"> </w:t>
            </w:r>
            <w:r>
              <w:t xml:space="preserve">“how do we isolate one branch edge — and the controller — during an incident,”</w:t>
            </w:r>
            <w:r>
              <w:t xml:space="preserve"> </w:t>
            </w:r>
            <w:r>
              <w:t xml:space="preserve">rehearsed, not implied by the topology</w:t>
            </w:r>
          </w:p>
        </w:tc>
      </w:tr>
    </w:tbl>
    <w:p>
      <w:pPr>
        <w:pStyle w:val="BodyText"/>
      </w:pPr>
      <w:r>
        <w:rPr>
          <w:b/>
          <w:bCs/>
        </w:rPr>
        <w:t xml:space="preserve">Crypto-agility is part of this surface.</w:t>
      </w:r>
      <w:r>
        <w:t xml:space="preserve"> </w:t>
      </w:r>
      <w:r>
        <w:t xml:space="preserve">A recommendation to standardize</w:t>
      </w:r>
      <w:r>
        <w:t xml:space="preserve"> </w:t>
      </w:r>
      <w:r>
        <w:t xml:space="preserve">agency-wide, long-lived IPsec invites the harvest-now-decrypt-later</w:t>
      </w:r>
      <w:r>
        <w:t xml:space="preserve"> </w:t>
      </w:r>
      <w:r>
        <w:t xml:space="preserve">objection, and the answer belongs in the design rather than a future</w:t>
      </w:r>
      <w:r>
        <w:t xml:space="preserve"> </w:t>
      </w:r>
      <w:r>
        <w:t xml:space="preserve">retrofit: post-quantum key establishment for IKEv2 exists in interim form</w:t>
      </w:r>
      <w:r>
        <w:t xml:space="preserve"> </w:t>
      </w:r>
      <w:r>
        <w:t xml:space="preserve">(RFC 8784 pre-shared augmentation; RFC 9370 multiple key exchanges) with</w:t>
      </w:r>
      <w:r>
        <w:t xml:space="preserve"> </w:t>
      </w:r>
      <w:r>
        <w:rPr>
          <w:b/>
          <w:bCs/>
        </w:rPr>
        <w:t xml:space="preserve">ML-KEM standardized in FIPS 203</w:t>
      </w:r>
      <w:r>
        <w:t xml:space="preserve">, and CNSA 2.0 under NSM-10 sets the</w:t>
      </w:r>
      <w:r>
        <w:t xml:space="preserve"> </w:t>
      </w:r>
      <w:r>
        <w:t xml:space="preserve">federal transition expectations. The two questions to put to any SD-WAN</w:t>
      </w:r>
      <w:r>
        <w:t xml:space="preserve"> </w:t>
      </w:r>
      <w:r>
        <w:t xml:space="preserve">vendor today: what is the PQ roadmap for the tunnel establishment path, and</w:t>
      </w:r>
      <w:r>
        <w:t xml:space="preserve"> </w:t>
      </w:r>
      <w:r>
        <w:t xml:space="preserve">what is the operational story for rekeying a 200-edge fleet when the</w:t>
      </w:r>
      <w:r>
        <w:t xml:space="preserve"> </w:t>
      </w:r>
      <w:r>
        <w:t xml:space="preserve">answer changes.</w:t>
      </w:r>
    </w:p>
    <w:p>
      <w:r>
        <w:pict>
          <ns5:rect style="width:0;height:1.5pt" ns6:hralign="center" ns6:hrstd="t" ns6:hr="t"/>
        </w:pict>
      </w:r>
    </w:p>
    <w:bookmarkEnd w:id="79"/>
    <w:bookmarkStart w:id="84" w:name="part-7-the-compliance-ledger"/>
    <w:p>
      <w:pPr>
        <w:pStyle w:val="Heading2"/>
      </w:pPr>
      <w:r>
        <w:t xml:space="preserve">Part 7 — The Compliance Ledger</w:t>
      </w:r>
    </w:p>
    <w:p>
      <w:pPr>
        <w:pStyle w:val="FirstParagraph"/>
      </w:pPr>
      <w:r>
        <w:t xml:space="preserve">The control-by-control ledger for the field-office path, stated as the</w:t>
      </w:r>
      <w:r>
        <w:t xml:space="preserve"> </w:t>
      </w:r>
      <w:r>
        <w:t xml:space="preserve">OrgComp series registers it. Scope note, stated plainly:</w:t>
      </w:r>
      <w:r>
        <w:t xml:space="preserve"> </w:t>
      </w:r>
      <w:r>
        <w:rPr>
          <w:b/>
          <w:bCs/>
        </w:rPr>
        <w:t xml:space="preserve">this ledger is</w:t>
      </w:r>
      <w:r>
        <w:rPr>
          <w:b/>
          <w:bCs/>
        </w:rPr>
        <w:t xml:space="preserve"> </w:t>
      </w:r>
      <w:r>
        <w:rPr>
          <w:b/>
          <w:bCs/>
        </w:rPr>
        <w:t xml:space="preserve">the pipe-vs-governor comparison, not the system’s full control story.</w:t>
      </w:r>
      <w:r>
        <w:t xml:space="preserve"> </w:t>
      </w:r>
      <w:r>
        <w:t xml:space="preserve">The</w:t>
      </w:r>
      <w:r>
        <w:t xml:space="preserve"> </w:t>
      </w:r>
      <w:r>
        <w:t xml:space="preserve">operational controls a 200-site distributed-PEP design also carries —</w:t>
      </w:r>
      <w:r>
        <w:t xml:space="preserve"> </w:t>
      </w:r>
      <w:r>
        <w:t xml:space="preserve">IA-3, SC-12/SC-13/SC-17, CM-3/CM-6/CM-7, SI-2, RA-5, AC-20, IR-4 — are</w:t>
      </w:r>
      <w:r>
        <w:t xml:space="preserve"> </w:t>
      </w:r>
      <w:r>
        <w:t xml:space="preserve">Part 6’s table; CP-8 is Part 3’s; the RMF change controls are Part 8’s.</w:t>
      </w:r>
      <w:r>
        <w:t xml:space="preserve"> </w:t>
      </w:r>
      <w:r>
        <w:t xml:space="preserve">Closures are anchored per book; this table is a reader’s map, not a claims</w:t>
      </w:r>
      <w:r>
        <w:t xml:space="preserve"> </w:t>
      </w:r>
      <w:r>
        <w:t xml:space="preserve">register.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sase-stack"/>
          <w:p>
            <w:pPr>
              <w:pStyle w:val="Compact"/>
              <w:jc w:val="center"/>
            </w:pPr>
            <w:r>
              <w:drawing>
                <ns1:inline>
                  <ns1:extent cx="5334000" cy="2933700"/>
                  <ns1:effectExtent b="0" l="0" r="0" t="0"/>
                  <ns1:docPr descr="" title="" id="81" name="Picture"/>
                  <ns2:graphic>
                    <ns2:graphicData uri="http://schemas.openxmlformats.org/drawingml/2006/picture">
                      <ns3:pic>
                        <ns3:nvPicPr>
                          <ns3:cNvPr descr="../orgcomp-series/figs/tc-fig-05-sase-stack.svg" id="82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>
                            <ns2:extLst>
                              <ns2:ext uri="{28A0092B-C50C-407E-A947-70E740481C1C}">
                                <ns7:useLocalDpi val="0"/>
                              </ns2:ext>
                              <ns2:ext uri="{96DAC541-7B7A-43D3-8B79-37D633B846F1}">
                                <ns8:svgBlip r:embed="rId80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29337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DIA enables — SASE achieves: the NIST control stack on a governed circuit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p>
      <w:pPr>
        <w:pStyle w:val="TableCaption"/>
      </w:pPr>
      <w:r>
        <w:t xml:space="preserve">The ledger — what the pipe provides, what the governor provides, and where each claim actually applies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he ledger — what the pipe provides, what the governor provides, and where each claim actually applie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NIST SP 800-53 Rev 5 control</w:t>
            </w:r>
          </w:p>
        </w:tc>
        <w:tc>
          <w:tcPr/>
          <w:p>
            <w:pPr>
              <w:pStyle w:val="Compact"/>
            </w:pPr>
            <w:r>
              <w:t xml:space="preserve">Bare DIA provides</w:t>
            </w:r>
          </w:p>
        </w:tc>
        <w:tc>
          <w:tcPr/>
          <w:p>
            <w:pPr>
              <w:pStyle w:val="Compact"/>
            </w:pPr>
            <w:r>
              <w:t xml:space="preserve">Provided on a governed circuit by</w:t>
            </w:r>
          </w:p>
        </w:tc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Inheritance / responsibility</w:t>
            </w:r>
          </w:p>
        </w:tc>
        <w:tc>
          <w:tcPr/>
          <w:p>
            <w:pPr>
              <w:pStyle w:val="Compact"/>
            </w:pPr>
            <w:r>
              <w:t xml:space="preserve">Closure anchored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SC-8 / SC-8(1) Transmission Confidentiality and Integrity</w:t>
            </w:r>
          </w:p>
        </w:tc>
        <w:tc>
          <w:tcPr/>
          <w:p>
            <w:pPr>
              <w:pStyle w:val="Compact"/>
            </w:pPr>
            <w:r>
              <w:t xml:space="preserve">Nothing — unencrypted at the network layer</w:t>
            </w:r>
          </w:p>
        </w:tc>
        <w:tc>
          <w:tcPr/>
          <w:p>
            <w:pPr>
              <w:pStyle w:val="Compact"/>
            </w:pPr>
            <w:r>
              <w:t xml:space="preserve">SD-WAN IPsec overlay (circuit-wide)</w:t>
            </w:r>
          </w:p>
        </w:tc>
        <w:tc>
          <w:tcPr/>
          <w:p>
            <w:pPr>
              <w:pStyle w:val="Compact"/>
            </w:pPr>
            <w:r>
              <w:t xml:space="preserve">All overlay-carried flows;</w:t>
            </w:r>
            <w:r>
              <w:t xml:space="preserve"> </w:t>
            </w:r>
            <w:r>
              <w:rPr>
                <w:b/>
                <w:bCs/>
              </w:rPr>
              <w:t xml:space="preserve">Optimize exception</w:t>
            </w:r>
            <w:r>
              <w:t xml:space="preserve">: bypassing flows rest on their own FIPS-validated TLS/SRTP (the per-flow closure)</w:t>
            </w:r>
          </w:p>
        </w:tc>
        <w:tc>
          <w:tcPr/>
          <w:p>
            <w:pPr>
              <w:pStyle w:val="Compact"/>
            </w:pPr>
            <w:r>
              <w:t xml:space="preserve">Agency-implemented — SD-WAN overlay procured and operated by the agency; not inherited from a CSO by default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Vol I Book 07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SC-7 Boundary Protection</w:t>
            </w:r>
          </w:p>
        </w:tc>
        <w:tc>
          <w:tcPr/>
          <w:p>
            <w:pPr>
              <w:pStyle w:val="Compact"/>
            </w:pPr>
            <w:r>
              <w:t xml:space="preserve">Nothing — egress outside the assessed boundary</w:t>
            </w:r>
          </w:p>
        </w:tc>
        <w:tc>
          <w:tcPr/>
          <w:p>
            <w:pPr>
              <w:pStyle w:val="Compact"/>
            </w:pPr>
            <w:r>
              <w:t xml:space="preserve">SASE SWG/FWaaS at the distributed PEP</w:t>
            </w:r>
          </w:p>
        </w:tc>
        <w:tc>
          <w:tcPr/>
          <w:p>
            <w:pPr>
              <w:pStyle w:val="Compact"/>
            </w:pPr>
            <w:r>
              <w:t xml:space="preserve">All proxied flows; Optimize bypass documented as an SC-7(4) traffic-flow exception with mission justification and periodic review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</w:t>
            </w:r>
            <w:r>
              <w:t xml:space="preserve"> </w:t>
            </w:r>
            <w:r>
              <w:t xml:space="preserve">— inherited from the authorized SASE CSO at the distributed PEP; name the specific CSO and CRM line during acquisition (Part 8) — TBD, no vendor selected in this paper</w:t>
            </w:r>
          </w:p>
        </w:tc>
        <w:tc>
          <w:tcPr/>
          <w:p>
            <w:pPr>
              <w:pStyle w:val="Compact"/>
            </w:pPr>
            <w:r>
              <w:t xml:space="preserve">Vol I Book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SC-7(8) Route Traffic to Authenticated Proxy Servers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SWG as the authenticated proxy for the routed classes</w:t>
            </w:r>
          </w:p>
        </w:tc>
        <w:tc>
          <w:tcPr/>
          <w:p>
            <w:pPr>
              <w:pStyle w:val="Compact"/>
            </w:pPr>
            <w:r>
              <w:t xml:space="preserve">Proxied classes only — this is the control that makes the proxy claim assessable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</w:t>
            </w:r>
            <w:r>
              <w:t xml:space="preserve"> </w:t>
            </w:r>
            <w:r>
              <w:t xml:space="preserve">— inherited from the authorized SASE CSO; CSO and CRM line TBD at acquisition (Part 8)</w:t>
            </w:r>
          </w:p>
        </w:tc>
        <w:tc>
          <w:tcPr/>
          <w:p>
            <w:pPr>
              <w:pStyle w:val="Compact"/>
            </w:pPr>
            <w:r>
              <w:t xml:space="preserve">Vol I Book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 Information Flow Enforcement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SASE CASB — application, tenant, data type, action</w:t>
            </w:r>
          </w:p>
        </w:tc>
        <w:tc>
          <w:tcPr/>
          <w:p>
            <w:pPr>
              <w:pStyle w:val="Compact"/>
            </w:pPr>
            <w:r>
              <w:t xml:space="preserve">Proxied flows;</w:t>
            </w:r>
            <w:r>
              <w:t xml:space="preserve"> </w:t>
            </w:r>
            <w:r>
              <w:rPr>
                <w:b/>
                <w:bCs/>
              </w:rPr>
              <w:t xml:space="preserve">CASB flow enforcement not deliverable on Optimize-bypassed flows</w:t>
            </w:r>
            <w:r>
              <w:t xml:space="preserve">. Tenant restrictions v2 is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lost with the proxy — its Windows Group Policy path needs none and reaches the data plane (§5.5) — but it must be signaled from the endpoint and verified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</w:t>
            </w:r>
            <w:r>
              <w:t xml:space="preserve"> </w:t>
            </w:r>
            <w:r>
              <w:t xml:space="preserve">— inherited from the authorized SASE CSO; CSO and CRM line TBD at acquisition (Part 8)</w:t>
            </w:r>
          </w:p>
        </w:tc>
        <w:tc>
          <w:tcPr/>
          <w:p>
            <w:pPr>
              <w:pStyle w:val="Compact"/>
            </w:pPr>
            <w:r>
              <w:t xml:space="preserve">Vol I Book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SC-6 Resource Availability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SD-WAN traffic classes and per-class path policy — priority, quota, and unit allocation across classes</w:t>
            </w:r>
          </w:p>
        </w:tc>
        <w:tc>
          <w:tcPr/>
          <w:p>
            <w:pPr>
              <w:pStyle w:val="Compact"/>
            </w:pPr>
            <w:r>
              <w:t xml:space="preserve">All overlay-carried flows</w:t>
            </w:r>
          </w:p>
        </w:tc>
        <w:tc>
          <w:tcPr/>
          <w:p>
            <w:pPr>
              <w:pStyle w:val="Compact"/>
            </w:pPr>
            <w:r>
              <w:t xml:space="preserve">Agency-implemented — SD-WAN overlay traffic-class policy configured by the agency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Vol II Book 03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SC-5 Denial-of-Service Protection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closed by traffic-class separation alone</w:t>
            </w:r>
            <w:r>
              <w:t xml:space="preserve"> </w:t>
            </w:r>
            <w:r>
              <w:t xml:space="preserve">— SC-5 targets adversarial DoS (attack-restriction, capacity/bandwidth/redundancy provisioning, DoS detection); this paper names no rate-limiting or DoS-detection mechanism that would earn even partial credit</w:t>
            </w:r>
          </w:p>
        </w:tc>
        <w:tc>
          <w:tcPr/>
          <w:p>
            <w:pPr>
              <w:pStyle w:val="Compact"/>
            </w:pPr>
            <w:r>
              <w:t xml:space="preserve">Not applicable to this design as described — requires a separate, DoS-specific control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SI-3 Malicious Code Protection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SWG inline SSL inspection at the nearest PoP</w:t>
            </w:r>
          </w:p>
        </w:tc>
        <w:tc>
          <w:tcPr/>
          <w:p>
            <w:pPr>
              <w:pStyle w:val="Compact"/>
            </w:pPr>
            <w:r>
              <w:t xml:space="preserve">Proxied flows;</w:t>
            </w:r>
            <w:r>
              <w:t xml:space="preserve"> </w:t>
            </w:r>
            <w:r>
              <w:rPr>
                <w:b/>
                <w:bCs/>
              </w:rPr>
              <w:t xml:space="preserve">no inline inspection on Optimize-bypassed flows</w:t>
            </w:r>
            <w:r>
              <w:t xml:space="preserve"> </w:t>
            </w:r>
            <w:r>
              <w:t xml:space="preserve">— compensate with endpoint protection and the SC-7(4) exception record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</w:t>
            </w:r>
            <w:r>
              <w:t xml:space="preserve"> </w:t>
            </w:r>
            <w:r>
              <w:t xml:space="preserve">— inherited from the authorized SASE CSO; CSO and CRM line TBD at acquisition (Part 8)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Vol I Book 06</w:t>
              </w:r>
            </w:hyperlink>
            <w:r>
              <w:t xml:space="preserve"> </w:t>
            </w:r>
            <w:r>
              <w:t xml:space="preserve">cross-references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SI-4 / SI-4(10) System Monitoring / Visibility of Encrypted Communications</w:t>
            </w:r>
          </w:p>
        </w:tc>
        <w:tc>
          <w:tcPr/>
          <w:p>
            <w:pPr>
              <w:pStyle w:val="Compact"/>
            </w:pPr>
            <w:r>
              <w:t xml:space="preserve">Link state and byte counts</w:t>
            </w:r>
          </w:p>
        </w:tc>
        <w:tc>
          <w:tcPr/>
          <w:p>
            <w:pPr>
              <w:pStyle w:val="Compact"/>
            </w:pPr>
            <w:r>
              <w:t xml:space="preserve">Overlay DPI + SASE per-session telemetry; SI-4(10) encrypted-traffic visibility satisfied by SWG TLS break-and-inspect</w:t>
            </w:r>
          </w:p>
        </w:tc>
        <w:tc>
          <w:tcPr/>
          <w:p>
            <w:pPr>
              <w:pStyle w:val="Compact"/>
            </w:pPr>
            <w:r>
              <w:t xml:space="preserve">All flows for path/steering telemetry; session-content telemetry, including SI-4(10) visibility, on proxied flows only — absent by design on Optimize-bypassed flows</w:t>
            </w:r>
          </w:p>
        </w:tc>
        <w:tc>
          <w:tcPr/>
          <w:p>
            <w:pPr>
              <w:pStyle w:val="Compact"/>
            </w:pPr>
            <w:r>
              <w:t xml:space="preserve">Agency-implemented (overlay DPI) /</w:t>
            </w:r>
            <w:r>
              <w:t xml:space="preserve"> </w:t>
            </w:r>
            <w:r>
              <w:rPr>
                <w:b/>
                <w:bCs/>
              </w:rPr>
              <w:t xml:space="preserve">Shared</w:t>
            </w:r>
            <w:r>
              <w:t xml:space="preserve"> </w:t>
            </w:r>
            <w:r>
              <w:t xml:space="preserve">(SASE per-session telemetry, incl. SI-4(10)) — CSO and CRM line TBD at acquisition (Part 8)</w:t>
            </w:r>
          </w:p>
        </w:tc>
        <w:tc>
          <w:tcPr/>
          <w:p>
            <w:pPr>
              <w:pStyle w:val="Compact"/>
            </w:pPr>
            <w:r>
              <w:t xml:space="preserve">Vol I Books 05–07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AU-12 Audit Record Generation</w:t>
            </w:r>
          </w:p>
        </w:tc>
        <w:tc>
          <w:tcPr/>
          <w:p>
            <w:pPr>
              <w:pStyle w:val="Compact"/>
            </w:pPr>
            <w:r>
              <w:t xml:space="preserve">IP flow logs</w:t>
            </w:r>
          </w:p>
        </w:tc>
        <w:tc>
          <w:tcPr/>
          <w:p>
            <w:pPr>
              <w:pStyle w:val="Compact"/>
            </w:pPr>
            <w:r>
              <w:t xml:space="preserve">Per-session records: user, device, app, action, data type</w:t>
            </w:r>
          </w:p>
        </w:tc>
        <w:tc>
          <w:tcPr/>
          <w:p>
            <w:pPr>
              <w:pStyle w:val="Compact"/>
            </w:pPr>
            <w:r>
              <w:t xml:space="preserve">Proxied flows; Optimize-bypassed flows yield five-tuple + steering metadata only — measure against M-26-14 maturity levels</w:t>
            </w:r>
          </w:p>
        </w:tc>
        <w:tc>
          <w:tcPr/>
          <w:p>
            <w:pPr>
              <w:pStyle w:val="Compact"/>
            </w:pPr>
            <w:r>
              <w:t xml:space="preserve">Agency-implemented (overlay steering log) /</w:t>
            </w:r>
            <w:r>
              <w:t xml:space="preserve"> </w:t>
            </w:r>
            <w:r>
              <w:rPr>
                <w:b/>
                <w:bCs/>
              </w:rPr>
              <w:t xml:space="preserve">Shared</w:t>
            </w:r>
            <w:r>
              <w:t xml:space="preserve"> </w:t>
            </w:r>
            <w:r>
              <w:t xml:space="preserve">(SASE session records) — CSO and CRM line TBD at acquisition (Part 8)</w:t>
            </w:r>
          </w:p>
        </w:tc>
        <w:tc>
          <w:tcPr/>
          <w:p>
            <w:pPr>
              <w:pStyle w:val="Compact"/>
            </w:pPr>
            <w:r>
              <w:t xml:space="preserve">Vol I Books 05–07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CA-7 Continuous Monitoring</w:t>
            </w:r>
          </w:p>
        </w:tc>
        <w:tc>
          <w:tcPr/>
          <w:p>
            <w:pPr>
              <w:pStyle w:val="Compact"/>
            </w:pPr>
            <w:r>
              <w:t xml:space="preserve">Nothing machine-readable</w:t>
            </w:r>
          </w:p>
        </w:tc>
        <w:tc>
          <w:tcPr/>
          <w:p>
            <w:pPr>
              <w:pStyle w:val="Compact"/>
            </w:pPr>
            <w:r>
              <w:t xml:space="preserve">Per-session evidence into the series’ ConMon pipeline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telemetry to CISA CLAW (Part 4.2 — a distinct artifact)</w:t>
            </w:r>
          </w:p>
        </w:tc>
        <w:tc>
          <w:tcPr/>
          <w:p>
            <w:pPr>
              <w:pStyle w:val="Compact"/>
            </w:pPr>
            <w:r>
              <w:t xml:space="preserve">All flows, at the fidelity each class permits</w:t>
            </w:r>
          </w:p>
        </w:tc>
        <w:tc>
          <w:tcPr/>
          <w:p>
            <w:pPr>
              <w:pStyle w:val="Compact"/>
            </w:pPr>
            <w:r>
              <w:t xml:space="preserve">Agency-implemented — ConMon pipeline; CLAW is a separate federal-reporting obligation, not CSO inheritance</w:t>
            </w:r>
          </w:p>
        </w:tc>
        <w:tc>
          <w:tcPr/>
          <w:p>
            <w:pPr>
              <w:pStyle w:val="Compact"/>
            </w:pPr>
            <w:r>
              <w:t xml:space="preserve">Evidence-fabric 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CP-8 Telecommunications Services (+ CP-8(2), CP-8(3) only)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CP-8(2)/CP-8(3) closed by the transport menu itself</w:t>
            </w:r>
            <w:r>
              <w:t xml:space="preserve"> </w:t>
            </w:r>
            <w:r>
              <w:t xml:space="preserve">— no single point of failure, separation of primary and alternate providers;</w:t>
            </w:r>
            <w:r>
              <w:t xml:space="preserve"> </w:t>
            </w:r>
            <w:r>
              <w:rPr>
                <w:b/>
                <w:bCs/>
              </w:rPr>
              <w:t xml:space="preserve">CP-8(1)</w:t>
            </w:r>
            <w:r>
              <w:t xml:space="preserve"> </w:t>
            </w:r>
            <w:r>
              <w:t xml:space="preserve">priority of service requires contractual TSP/NS-EP provisions and</w:t>
            </w:r>
            <w:r>
              <w:t xml:space="preserve"> </w:t>
            </w:r>
            <w:r>
              <w:rPr>
                <w:b/>
                <w:bCs/>
              </w:rPr>
              <w:t xml:space="preserve">CP-8(4)</w:t>
            </w:r>
            <w:r>
              <w:t xml:space="preserve"> </w:t>
            </w:r>
            <w:r>
              <w:t xml:space="preserve">provider contingency plan requires the provider’s own documented plan — neither satisfied by transport diversity alone</w:t>
            </w:r>
          </w:p>
        </w:tc>
        <w:tc>
          <w:tcPr/>
          <w:p>
            <w:pPr>
              <w:pStyle w:val="Compact"/>
            </w:pPr>
            <w:r>
              <w:t xml:space="preserve">Transport selection and diversity (Part 3) for CP-8(2)/CP-8(3); acquisition vehicle (Part 8) for CP-8(1); provider deliverable (Part 8) for CP-8(4)</w:t>
            </w:r>
          </w:p>
        </w:tc>
        <w:tc>
          <w:tcPr/>
          <w:p>
            <w:pPr>
              <w:pStyle w:val="Compact"/>
            </w:pPr>
            <w:r>
              <w:t xml:space="preserve">The circuit portfolio, not any single circuit</w:t>
            </w:r>
          </w:p>
        </w:tc>
        <w:tc>
          <w:tcPr/>
          <w:p>
            <w:pPr>
              <w:pStyle w:val="Compact"/>
            </w:pPr>
            <w:r>
              <w:t xml:space="preserve">Agency-implemented via the acquisition vehicle (Part 8); CP-8(4) evidence is a provider deliverable, not agency-authored</w:t>
            </w:r>
          </w:p>
        </w:tc>
        <w:tc>
          <w:tcPr/>
          <w:p>
            <w:pPr>
              <w:pStyle w:val="Compact"/>
            </w:pPr>
            <w:r>
              <w:t xml:space="preserve">Part 3 of this paper; acquisition controls in Part 8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honesty clause.</w:t>
      </w:r>
      <w:r>
        <w:t xml:space="preserve"> </w:t>
      </w:r>
      <w:r>
        <w:t xml:space="preserve">The SC-8 row above is a</w:t>
      </w:r>
      <w:r>
        <w:t xml:space="preserve"> </w:t>
      </w:r>
      <w:r>
        <w:rPr>
          <w:b/>
          <w:bCs/>
        </w:rPr>
        <w:t xml:space="preserve">coverage-completeness</w:t>
      </w:r>
      <w:r>
        <w:rPr>
          <w:b/>
          <w:bCs/>
        </w:rPr>
        <w:t xml:space="preserve"> </w:t>
      </w:r>
      <w:r>
        <w:rPr>
          <w:b/>
          <w:bCs/>
        </w:rPr>
        <w:t xml:space="preserve">claim, not an exclusivity claim</w:t>
      </w:r>
      <w:r>
        <w:t xml:space="preserve">, and the series states it that way on</w:t>
      </w:r>
      <w:r>
        <w:t xml:space="preserve"> </w:t>
      </w:r>
      <w:r>
        <w:t xml:space="preserve">purpose. FedRAMP’s Rev 5 data-in-transit guidance (</w:t>
      </w:r>
      <w:r>
        <w:t xml:space="preserve">“The Rev. 5 Approach to</w:t>
      </w:r>
      <w:r>
        <w:t xml:space="preserve"> </w:t>
      </w:r>
      <w:r>
        <w:t xml:space="preserve">SC-8, and Protecting Data-in-Transit,”</w:t>
      </w:r>
      <w:r>
        <w:t xml:space="preserve"> </w:t>
      </w:r>
      <w:r>
        <w:t xml:space="preserve">2023) requires FIPS 140-validated</w:t>
      </w:r>
      <w:r>
        <w:t xml:space="preserve"> </w:t>
      </w:r>
      <w:r>
        <w:t xml:space="preserve">encryption and names no protocol: FIPS-validated TLS closes SC-8 for the</w:t>
      </w:r>
      <w:r>
        <w:t xml:space="preserve"> </w:t>
      </w:r>
      <w:r>
        <w:t xml:space="preserve">flow that negotiates it, physical protection moved to</w:t>
      </w:r>
      <w:r>
        <w:t xml:space="preserve"> </w:t>
      </w:r>
      <w:r>
        <w:rPr>
          <w:b/>
          <w:bCs/>
        </w:rPr>
        <w:t xml:space="preserve">SC-8(5) Protected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Distribution System</w:t>
      </w:r>
      <w:r>
        <w:t xml:space="preserve"> </w:t>
      </w:r>
      <w:r>
        <w:t xml:space="preserve">— FedRAMP’s Rev 5 SC-8 guidance glosses this</w:t>
      </w:r>
      <w:r>
        <w:t xml:space="preserve"> </w:t>
      </w:r>
      <w:r>
        <w:t xml:space="preserve">enhancement as a</w:t>
      </w:r>
      <w:r>
        <w:t xml:space="preserve"> </w:t>
      </w:r>
      <w:r>
        <w:t xml:space="preserve">“Controlled Access Area”</w:t>
      </w:r>
      <w:r>
        <w:t xml:space="preserve"> </w:t>
      </w:r>
      <w:r>
        <w:t xml:space="preserve">path, but that is FedRAMP’s own</w:t>
      </w:r>
      <w:r>
        <w:t xml:space="preserve"> </w:t>
      </w:r>
      <w:r>
        <w:t xml:space="preserve">alternative-compliance-path language, not the enhancement’s formal NIST</w:t>
      </w:r>
      <w:r>
        <w:t xml:space="preserve"> </w:t>
      </w:r>
      <w:r>
        <w:t xml:space="preserve">title — and SC-8 is inheritable for traffic that</w:t>
      </w:r>
      <w:r>
        <w:t xml:space="preserve"> </w:t>
      </w:r>
      <w:r>
        <w:t xml:space="preserve">originates and terminates inside an authorized boundary. None of those</w:t>
      </w:r>
      <w:r>
        <w:t xml:space="preserve"> </w:t>
      </w:r>
      <w:r>
        <w:t xml:space="preserve">paths reaches a field-office DIA circuit egressing over the public</w:t>
      </w:r>
      <w:r>
        <w:t xml:space="preserve"> </w:t>
      </w:r>
      <w:r>
        <w:t xml:space="preserve">internet — traffic originates outside every authorized boundary, no</w:t>
      </w:r>
      <w:r>
        <w:t xml:space="preserve"> </w:t>
      </w:r>
      <w:r>
        <w:t xml:space="preserve">Controlled Access Area encloses the internet, and per-flow TLS closure must</w:t>
      </w:r>
      <w:r>
        <w:t xml:space="preserve"> </w:t>
      </w:r>
      <w:r>
        <w:t xml:space="preserve">be demonstrated flow by flow while DNS lookups (Section 5.6), legacy</w:t>
      </w:r>
      <w:r>
        <w:t xml:space="preserve"> </w:t>
      </w:r>
      <w:r>
        <w:t xml:space="preserve">protocols, and misconfigured applications ride the same circuit bare. The</w:t>
      </w:r>
      <w:r>
        <w:t xml:space="preserve"> </w:t>
      </w:r>
      <w:r>
        <w:t xml:space="preserve">overlay’s contribution is uniform coverage of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flows and a single</w:t>
      </w:r>
      <w:r>
        <w:t xml:space="preserve"> </w:t>
      </w:r>
      <w:r>
        <w:t xml:space="preserve">circuit-level attestation; among overlay classes (site-to-site IPsec, ZTNA</w:t>
      </w:r>
      <w:r>
        <w:t xml:space="preserve"> </w:t>
      </w:r>
      <w:r>
        <w:t xml:space="preserve">tunnels, WireGuard-class), SD-WAN is the one that also delivers the SC-6</w:t>
      </w:r>
      <w:r>
        <w:t xml:space="preserve"> </w:t>
      </w:r>
      <w:r>
        <w:t xml:space="preserve">and SI-4 closures of Part 5. The</w:t>
      </w:r>
      <w:r>
        <w:t xml:space="preserve"> </w:t>
      </w:r>
      <w:hyperlink r:id="rId17">
        <w:r>
          <w:rPr>
            <w:rStyle w:val="Hyperlink"/>
          </w:rPr>
          <w:t xml:space="preserve">Executive Summary’s rebuttal box</w:t>
        </w:r>
      </w:hyperlink>
      <w:r>
        <w:t xml:space="preserve"> </w:t>
      </w:r>
      <w:r>
        <w:t xml:space="preserve">carries the full counter-source treatment, including the</w:t>
      </w:r>
      <w:r>
        <w:t xml:space="preserve"> </w:t>
      </w:r>
      <w:r>
        <w:t xml:space="preserve">“our traffic is</w:t>
      </w:r>
      <w:r>
        <w:t xml:space="preserve"> </w:t>
      </w:r>
      <w:r>
        <w:t xml:space="preserve">M365 and M365 is already encrypted”</w:t>
      </w:r>
      <w:r>
        <w:t xml:space="preserve"> </w:t>
      </w:r>
      <w:r>
        <w:t xml:space="preserve">objection resolved in Section 5.5 —</w:t>
      </w:r>
      <w:r>
        <w:t xml:space="preserve"> </w:t>
      </w:r>
      <w:r>
        <w:t xml:space="preserve">and Section 5.5 extends the same honesty to SI-3, AC-4, and AU-12, where</w:t>
      </w:r>
      <w:r>
        <w:t xml:space="preserve"> </w:t>
      </w:r>
      <w:r>
        <w:t xml:space="preserve">the ledger’s</w:t>
      </w:r>
      <w:r>
        <w:t xml:space="preserve"> </w:t>
      </w:r>
      <w:r>
        <w:t xml:space="preserve">“applies to”</w:t>
      </w:r>
      <w:r>
        <w:t xml:space="preserve"> </w:t>
      </w:r>
      <w:r>
        <w:t xml:space="preserve">column records it.</w:t>
      </w:r>
    </w:p>
    <w:p>
      <w:r>
        <w:pict>
          <ns5:rect style="width:0;height:1.5pt" ns6:hralign="center" ns6:hrstd="t" ns6:hr="t"/>
        </w:pict>
      </w:r>
    </w:p>
    <w:bookmarkEnd w:id="84"/>
    <w:bookmarkStart w:id="89" w:name="part-8-the-decision-sequence"/>
    <w:p>
      <w:pPr>
        <w:pStyle w:val="Heading2"/>
      </w:pPr>
      <w:r>
        <w:t xml:space="preserve">Part 8 — The Decision Sequence</w:t>
      </w:r>
    </w:p>
    <w:p>
      <w:pPr>
        <w:pStyle w:val="FirstParagraph"/>
      </w:pPr>
      <w:r>
        <w:t xml:space="preserve">For a decision maker, the whole paper compresses to an ordered checklist: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implementation-sequence"/>
          <w:p>
            <w:pPr>
              <w:pStyle w:val="Compact"/>
              <w:jc w:val="center"/>
            </w:pPr>
            <w:r>
              <w:drawing>
                <ns1:inline>
                  <ns1:extent cx="5334000" cy="3000375"/>
                  <ns1:effectExtent b="0" l="0" r="0" t="0"/>
                  <ns1:docPr descr="" title="" id="86" name="Picture"/>
                  <ns2:graphic>
                    <ns2:graphicData uri="http://schemas.openxmlformats.org/drawingml/2006/picture">
                      <ns3:pic>
                        <ns3:nvPicPr>
                          <ns3:cNvPr descr="../orgcomp-series/figs/mf-fig-18-inr-implementation-sequence.png" id="87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85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3000375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The implementation sequence — boundary first, evidence last</w:t>
            </w:r>
          </w:p>
          <w:bookmarkEnd w:id="88"/>
        </w:tc>
      </w:tr>
    </w:tbl>
    <w:p>
      <w:pPr>
        <w:numPr>
          <w:ilvl w:val="0"/>
          <w:numId w:val="1010"/>
        </w:numPr>
      </w:pPr>
      <w:r>
        <w:rPr>
          <w:b/>
          <w:bCs/>
        </w:rPr>
        <w:t xml:space="preserve">Buy the pipe on measured physics — within the acquisition and</w:t>
      </w:r>
      <w:r>
        <w:rPr>
          <w:b/>
          <w:bCs/>
        </w:rPr>
        <w:t xml:space="preserve"> </w:t>
      </w:r>
      <w:r>
        <w:rPr>
          <w:b/>
          <w:bCs/>
        </w:rPr>
        <w:t xml:space="preserve">supply-chain envelope.</w:t>
      </w:r>
      <w:r>
        <w:t xml:space="preserve"> </w:t>
      </w:r>
      <w:r>
        <w:t xml:space="preserve">Choose DIA transports — fiber, 5G, LEO,</w:t>
      </w:r>
      <w:r>
        <w:t xml:space="preserve"> </w:t>
      </w:r>
      <w:r>
        <w:t xml:space="preserve">retained MPLS — on measured latency to the destinations that matter</w:t>
      </w:r>
      <w:r>
        <w:t xml:space="preserve"> </w:t>
      </w:r>
      <w:r>
        <w:t xml:space="preserve">(M365 front door, contact-center region, the nearest</w:t>
      </w:r>
      <w:r>
        <w:t xml:space="preserve"> </w:t>
      </w:r>
      <w:r>
        <w:rPr>
          <w:i/>
          <w:iCs/>
        </w:rPr>
        <w:t xml:space="preserve">authorized</w:t>
      </w:r>
      <w:r>
        <w:t xml:space="preserve"> </w:t>
      </w:r>
      <w:r>
        <w:t xml:space="preserve">SASE</w:t>
      </w:r>
      <w:r>
        <w:t xml:space="preserve"> </w:t>
      </w:r>
      <w:r>
        <w:t xml:space="preserve">PoP per Section 4.3), on the G.114 budget, and on the CP-8 diversity the</w:t>
      </w:r>
      <w:r>
        <w:t xml:space="preserve"> </w:t>
      </w:r>
      <w:r>
        <w:t xml:space="preserve">portfolio must deliver. Physics ranks the candidates; the envelope</w:t>
      </w:r>
      <w:r>
        <w:t xml:space="preserve"> </w:t>
      </w:r>
      <w:r>
        <w:t xml:space="preserve">bounds them: Section 889 prohibitions, the agency’s acquisition vehicles</w:t>
      </w:r>
      <w:r>
        <w:t xml:space="preserve"> </w:t>
      </w:r>
      <w:r>
        <w:t xml:space="preserve">(EIS/GSA), SCRM obligations (SR-3, SR-5, SR-6), and — for managed LEO or</w:t>
      </w:r>
      <w:r>
        <w:t xml:space="preserve"> </w:t>
      </w:r>
      <w:r>
        <w:t xml:space="preserve">5G MEC services — the provider’s authorization status and ownership</w:t>
      </w:r>
      <w:r>
        <w:t xml:space="preserve"> </w:t>
      </w:r>
      <w:r>
        <w:t xml:space="preserve">posture. No transport choice earns protection-control credit; the</w:t>
      </w:r>
      <w:r>
        <w:t xml:space="preserve"> </w:t>
      </w:r>
      <w:r>
        <w:t xml:space="preserve">portfolio’s diversity earns the CP-8(2)/CP-8(3) credit. Two further CP-8</w:t>
      </w:r>
      <w:r>
        <w:t xml:space="preserve"> </w:t>
      </w:r>
      <w:r>
        <w:t xml:space="preserve">enhancements are decided here, in acquisition, not on the transport menu:</w:t>
      </w:r>
      <w:r>
        <w:t xml:space="preserve"> </w:t>
      </w:r>
      <w:r>
        <w:rPr>
          <w:b/>
          <w:bCs/>
        </w:rPr>
        <w:t xml:space="preserve">CP-8(1) Priority of Service Provisions</w:t>
      </w:r>
      <w:r>
        <w:t xml:space="preserve"> </w:t>
      </w:r>
      <w:r>
        <w:t xml:space="preserve">requires enrolling qualifying</w:t>
      </w:r>
      <w:r>
        <w:t xml:space="preserve"> </w:t>
      </w:r>
      <w:r>
        <w:t xml:space="preserve">circuits in the Telecommunications Service Priority (TSP) program and</w:t>
      </w:r>
      <w:r>
        <w:t xml:space="preserve"> </w:t>
      </w:r>
      <w:r>
        <w:t xml:space="preserve">writing NS-EP priority-restoration provisions into the acquisition</w:t>
      </w:r>
      <w:r>
        <w:t xml:space="preserve"> </w:t>
      </w:r>
      <w:r>
        <w:t xml:space="preserve">vehicle itself — a contract artifact, not a purchasing decision — and</w:t>
      </w:r>
      <w:r>
        <w:t xml:space="preserve"> </w:t>
      </w:r>
      <w:r>
        <w:rPr>
          <w:b/>
          <w:bCs/>
        </w:rPr>
        <w:t xml:space="preserve">CP-8(4) Provider Contingency Plan</w:t>
      </w:r>
      <w:r>
        <w:t xml:space="preserve"> </w:t>
      </w:r>
      <w:r>
        <w:t xml:space="preserve">requires obtaining and retaining</w:t>
      </w:r>
      <w:r>
        <w:t xml:space="preserve"> </w:t>
      </w:r>
      <w:r>
        <w:t xml:space="preserve">the provider’s own documented contingency plan as acquisition evidence;</w:t>
      </w:r>
      <w:r>
        <w:t xml:space="preserve"> </w:t>
      </w:r>
      <w:r>
        <w:t xml:space="preserve">neither is authored or satisfied by the buyer’s diversity choice.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Deploy the governor before the pipe carries production traffic — and</w:t>
      </w:r>
      <w:r>
        <w:rPr>
          <w:b/>
          <w:bCs/>
        </w:rPr>
        <w:t xml:space="preserve"> </w:t>
      </w:r>
      <w:r>
        <w:rPr>
          <w:b/>
          <w:bCs/>
        </w:rPr>
        <w:t xml:space="preserve">protect the governor.</w:t>
      </w:r>
      <w:r>
        <w:t xml:space="preserve"> </w:t>
      </w:r>
      <w:r>
        <w:t xml:space="preserve">The SD-WAN overlay (encryption, classes,</w:t>
      </w:r>
      <w:r>
        <w:t xml:space="preserve"> </w:t>
      </w:r>
      <w:r>
        <w:t xml:space="preserve">telemetry, multipath) and the SASE stack (SWG, CASB, FWaaS, ZTNA) are</w:t>
      </w:r>
      <w:r>
        <w:t xml:space="preserve"> </w:t>
      </w:r>
      <w:r>
        <w:t xml:space="preserve">where the TIC 3.0 security capabilities live; Part 6’s ledger is the</w:t>
      </w:r>
      <w:r>
        <w:t xml:space="preserve"> </w:t>
      </w:r>
      <w:r>
        <w:t xml:space="preserve">price of admission for operating them. A DIA circuit lit before its PEP</w:t>
      </w:r>
      <w:r>
        <w:t xml:space="preserve"> </w:t>
      </w:r>
      <w:r>
        <w:t xml:space="preserve">exists is a finding with good latency. Vendor selections for both layers</w:t>
      </w:r>
      <w:r>
        <w:t xml:space="preserve"> </w:t>
      </w:r>
      <w:r>
        <w:t xml:space="preserve">are agency-procurement decisions; the OrgComp series names deployed</w:t>
      </w:r>
      <w:r>
        <w:t xml:space="preserve"> </w:t>
      </w:r>
      <w:r>
        <w:t xml:space="preserve">examples of each mechanism class, with alternatives enumerated per</w:t>
      </w:r>
      <w:r>
        <w:t xml:space="preserve"> </w:t>
      </w:r>
      <w:r>
        <w:t xml:space="preserve">layer.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Treat distributed egress as the significant change it is.</w:t>
      </w:r>
      <w:r>
        <w:t xml:space="preserve"> </w:t>
      </w:r>
      <w:r>
        <w:t xml:space="preserve">Moving</w:t>
      </w:r>
      <w:r>
        <w:t xml:space="preserve"> </w:t>
      </w:r>
      <w:r>
        <w:t xml:space="preserve">branches from the TIC hairpin to distributed egress changes the</w:t>
      </w:r>
      <w:r>
        <w:t xml:space="preserve"> </w:t>
      </w:r>
      <w:r>
        <w:t xml:space="preserve">authorization boundary: SSP and boundary-diagram updates, a security</w:t>
      </w:r>
      <w:r>
        <w:t xml:space="preserve"> </w:t>
      </w:r>
      <w:r>
        <w:t xml:space="preserve">impact analysis, and the CA-6 authorization decision on the change</w:t>
      </w:r>
      <w:r>
        <w:t xml:space="preserve"> </w:t>
      </w:r>
      <w:r>
        <w:t xml:space="preserve">belong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cutover, and the CLAW telemetry path of Section 4.2</w:t>
      </w:r>
      <w:r>
        <w:t xml:space="preserve"> </w:t>
      </w:r>
      <w:r>
        <w:t xml:space="preserve">belongs in the same package. This is the step that actually gates</w:t>
      </w:r>
      <w:r>
        <w:t xml:space="preserve"> </w:t>
      </w:r>
      <w:r>
        <w:t xml:space="preserve">deployment, and it is missing from most modernization schedules.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Steer M365 by Microsoft’s categories, and file the exception.</w:t>
      </w:r>
      <w:r>
        <w:t xml:space="preserve"> </w:t>
      </w:r>
      <w:r>
        <w:t xml:space="preserve">Optimize-category traffic egresses locally on its own validated</w:t>
      </w:r>
      <w:r>
        <w:t xml:space="preserve"> </w:t>
      </w:r>
      <w:r>
        <w:t xml:space="preserve">encryption; everything else rides the overlay; each bypass is an</w:t>
      </w:r>
      <w:r>
        <w:t xml:space="preserve"> </w:t>
      </w:r>
      <w:r>
        <w:t xml:space="preserve">SC-7(4)-documented traffic-flow exception with its mission</w:t>
      </w:r>
      <w:r>
        <w:t xml:space="preserve"> </w:t>
      </w:r>
      <w:r>
        <w:t xml:space="preserve">justification, review cadence, and compensating identity-plane</w:t>
      </w:r>
      <w:r>
        <w:t xml:space="preserve"> </w:t>
      </w:r>
      <w:r>
        <w:t xml:space="preserve">controls — with the steering log as enforcement evidence that the</w:t>
      </w:r>
      <w:r>
        <w:t xml:space="preserve"> </w:t>
      </w:r>
      <w:r>
        <w:t xml:space="preserve">exception’s boundaries hold.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Register the closures where the series anchors them.</w:t>
      </w:r>
      <w:r>
        <w:t xml:space="preserve"> </w:t>
      </w:r>
      <w:r>
        <w:t xml:space="preserve">The</w:t>
      </w:r>
      <w:r>
        <w:t xml:space="preserve"> </w:t>
      </w:r>
      <w:r>
        <w:t xml:space="preserve">control-by-control builds, KSI evidence contracts, and ConMon wiring are</w:t>
      </w:r>
      <w:r>
        <w:t xml:space="preserve"> </w:t>
      </w:r>
      <w:r>
        <w:t xml:space="preserve">owned by the OrgComp volumes:</w:t>
      </w:r>
      <w:r>
        <w:t xml:space="preserve"> </w:t>
      </w:r>
      <w:hyperlink r:id="rId17">
        <w:r>
          <w:rPr>
            <w:rStyle w:val="Hyperlink"/>
          </w:rPr>
          <w:t xml:space="preserve">Vol 0 Book 00</w:t>
        </w:r>
      </w:hyperlink>
      <w:r>
        <w:t xml:space="preserve"> </w:t>
      </w:r>
      <w:r>
        <w:t xml:space="preserve">for the doctrine and its counter-sources,</w:t>
      </w:r>
      <w:r>
        <w:t xml:space="preserve"> </w:t>
      </w:r>
      <w:hyperlink r:id="rId28">
        <w:r>
          <w:rPr>
            <w:rStyle w:val="Hyperlink"/>
          </w:rPr>
          <w:t xml:space="preserve">Vol I Book 05</w:t>
        </w:r>
      </w:hyperlink>
      <w:r>
        <w:t xml:space="preserve"> </w:t>
      </w:r>
      <w:r>
        <w:t xml:space="preserve">for transport physics, multipath, and the M365/Cloud OnRamp build,</w:t>
      </w:r>
      <w:r>
        <w:t xml:space="preserve"> </w:t>
      </w:r>
      <w:hyperlink r:id="rId35">
        <w:r>
          <w:rPr>
            <w:rStyle w:val="Hyperlink"/>
          </w:rPr>
          <w:t xml:space="preserve">Vol I Book 06</w:t>
        </w:r>
      </w:hyperlink>
      <w:r>
        <w:t xml:space="preserve"> </w:t>
      </w:r>
      <w:r>
        <w:t xml:space="preserve">for voice, G.114, and the TIC 3.0 use cases,</w:t>
      </w:r>
      <w:r>
        <w:t xml:space="preserve"> </w:t>
      </w:r>
      <w:hyperlink r:id="rId49">
        <w:r>
          <w:rPr>
            <w:rStyle w:val="Hyperlink"/>
          </w:rPr>
          <w:t xml:space="preserve">Vol I Book 07</w:t>
        </w:r>
      </w:hyperlink>
      <w:r>
        <w:t xml:space="preserve"> </w:t>
      </w:r>
      <w:r>
        <w:t xml:space="preserve">for the enforcement-substrate closure anchors, and</w:t>
      </w:r>
      <w:r>
        <w:t xml:space="preserve"> </w:t>
      </w:r>
      <w:hyperlink r:id="rId23">
        <w:r>
          <w:rPr>
            <w:rStyle w:val="Hyperlink"/>
          </w:rPr>
          <w:t xml:space="preserve">Vol II Book 03</w:t>
        </w:r>
      </w:hyperlink>
      <w:r>
        <w:t xml:space="preserve"> </w:t>
      </w:r>
      <w:r>
        <w:t xml:space="preserve">for the physics floor and traffic-class doctrine.</w:t>
      </w:r>
    </w:p>
    <w:p>
      <w:pPr>
        <w:pStyle w:val="FirstParagraph"/>
      </w:pPr>
      <w:r>
        <w:t xml:space="preserve">The one-sentence version:</w:t>
      </w:r>
      <w:r>
        <w:t xml:space="preserve"> </w:t>
      </w:r>
      <w:r>
        <w:rPr>
          <w:b/>
          <w:bCs/>
        </w:rPr>
        <w:t xml:space="preserve">physics buys you the pipe, diversity buys you</w:t>
      </w:r>
      <w:r>
        <w:rPr>
          <w:b/>
          <w:bCs/>
        </w:rPr>
        <w:t xml:space="preserve"> </w:t>
      </w:r>
      <w:r>
        <w:rPr>
          <w:b/>
          <w:bCs/>
        </w:rPr>
        <w:t xml:space="preserve">CP-8, the governor buys you the protection controls, TIC 3.0 is why you may</w:t>
      </w:r>
      <w:r>
        <w:rPr>
          <w:b/>
          <w:bCs/>
        </w:rPr>
        <w:t xml:space="preserve"> </w:t>
      </w:r>
      <w:r>
        <w:rPr>
          <w:b/>
          <w:bCs/>
        </w:rPr>
        <w:t xml:space="preserve">not stop at the pipe — and no future transport, 6G included, changes which</w:t>
      </w:r>
      <w:r>
        <w:rPr>
          <w:b/>
          <w:bCs/>
        </w:rPr>
        <w:t xml:space="preserve"> </w:t>
      </w:r>
      <w:r>
        <w:rPr>
          <w:b/>
          <w:bCs/>
        </w:rPr>
        <w:t xml:space="preserve">of those you are allowed to skip: none.</w:t>
      </w:r>
    </w:p>
    <w:p>
      <w:r>
        <w:pict>
          <ns5:rect style="width:0;height:1.5pt" ns6:hralign="center" ns6:hrstd="t" ns6:hr="t"/>
        </w:pict>
      </w:r>
    </w:p>
    <w:bookmarkEnd w:id="89"/>
    <w:bookmarkStart w:id="9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Authorities and primary sources asserted in this paper. Verification status</w:t>
      </w:r>
      <w:r>
        <w:t xml:space="preserve"> </w:t>
      </w:r>
      <w:r>
        <w:t xml:space="preserve">for externally sourced claims is tracked in the OrgComp External</w:t>
      </w:r>
      <w:r>
        <w:t xml:space="preserve"> </w:t>
      </w:r>
      <w:r>
        <w:t xml:space="preserve">Verification Register (EV-M091–M096).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ITU-T Recommendation G.114</w:t>
      </w:r>
      <w:r>
        <w:t xml:space="preserve"> </w:t>
      </w:r>
      <w:r>
        <w:t xml:space="preserve">— One-way transmission time (the 150 ms</w:t>
      </w:r>
      <w:r>
        <w:t xml:space="preserve"> </w:t>
      </w:r>
      <w:r>
        <w:t xml:space="preserve">one-way budget).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OMB Memorandum M-19-26</w:t>
      </w:r>
      <w:r>
        <w:t xml:space="preserve"> </w:t>
      </w:r>
      <w:r>
        <w:t xml:space="preserve">— Update to the Trusted Internet Connections</w:t>
      </w:r>
      <w:r>
        <w:t xml:space="preserve"> </w:t>
      </w:r>
      <w:r>
        <w:t xml:space="preserve">(TIC) Initiative (the use-case model and the telemetry bargain).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CISA TIC 3.0 core guidance</w:t>
      </w:r>
      <w:r>
        <w:t xml:space="preserve"> </w:t>
      </w:r>
      <w:r>
        <w:t xml:space="preserve">— Program Guidebook, Reference</w:t>
      </w:r>
      <w:r>
        <w:t xml:space="preserve"> </w:t>
      </w:r>
      <w:r>
        <w:t xml:space="preserve">Architecture, Security Capabilities Catalog (current published version),</w:t>
      </w:r>
      <w:r>
        <w:t xml:space="preserve"> </w:t>
      </w:r>
      <w:r>
        <w:t xml:space="preserve">and the Branch Office use case.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CISA,</w:t>
      </w:r>
      <w:r>
        <w:rPr>
          <w:b/>
          <w:bCs/>
        </w:rPr>
        <w:t xml:space="preserve"> </w:t>
      </w:r>
      <w:r>
        <w:rPr>
          <w:b/>
          <w:bCs/>
        </w:rPr>
        <w:t xml:space="preserve">“The Journey to Zero Trust: Using SASE in a Modern TIC 3.0</w:t>
      </w:r>
      <w:r>
        <w:rPr>
          <w:b/>
          <w:bCs/>
        </w:rPr>
        <w:t xml:space="preserve"> </w:t>
      </w:r>
      <w:r>
        <w:rPr>
          <w:b/>
          <w:bCs/>
        </w:rPr>
        <w:t xml:space="preserve">Solution”</w:t>
      </w:r>
      <w:r>
        <w:t xml:space="preserve"> </w:t>
      </w:r>
      <w:r>
        <w:t xml:space="preserve">(June 2026) — positions SASE as the Zero Trust enabler for</w:t>
      </w:r>
      <w:r>
        <w:t xml:space="preserve"> </w:t>
      </w:r>
      <w:r>
        <w:t xml:space="preserve">distributed federal traffic; the source behind Part 4’s SD-WAN-optionality</w:t>
      </w:r>
      <w:r>
        <w:t xml:space="preserve"> </w:t>
      </w:r>
      <w:r>
        <w:t xml:space="preserve">callout. Same underlying document already cited via EV-M094’s telemetry</w:t>
      </w:r>
      <w:r>
        <w:t xml:space="preserve"> </w:t>
      </w:r>
      <w:r>
        <w:t xml:space="preserve">verification below; this is its first standalone bibliography entry.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Gartner,</w:t>
      </w:r>
      <w:r>
        <w:rPr>
          <w:b/>
          <w:bCs/>
        </w:rPr>
        <w:t xml:space="preserve"> </w:t>
      </w:r>
      <w:r>
        <w:rPr>
          <w:b/>
          <w:bCs/>
        </w:rPr>
        <w:t xml:space="preserve">“The Future of Network Security Is in the Cloud”</w:t>
      </w:r>
      <w:r>
        <w:t xml:space="preserve"> </w:t>
      </w:r>
      <w:r>
        <w:t xml:space="preserve">(2019) —</w:t>
      </w:r>
      <w:r>
        <w:t xml:space="preserve"> </w:t>
      </w:r>
      <w:r>
        <w:t xml:space="preserve">coined Secure Access Service Edge (SASE) and defined it as SD-WAN</w:t>
      </w:r>
      <w:r>
        <w:t xml:space="preserve"> </w:t>
      </w:r>
      <w:r>
        <w:t xml:space="preserve">converged with Security Service Edge (SSE) technologies (SWG, CASB,</w:t>
      </w:r>
      <w:r>
        <w:t xml:space="preserve"> </w:t>
      </w:r>
      <w:r>
        <w:t xml:space="preserve">ZTNA, FWaaS/NGFW) delivered primarily as a cloud service; the basis for</w:t>
      </w:r>
      <w:r>
        <w:t xml:space="preserve"> </w:t>
      </w:r>
      <w:r>
        <w:t xml:space="preserve">§4.1’s SASE-vs-SSE terminology distinction (SSE is the security-only</w:t>
      </w:r>
      <w:r>
        <w:t xml:space="preserve"> </w:t>
      </w:r>
      <w:r>
        <w:t xml:space="preserve">subset of SASE with the SD-WAN/transport-governance component removed).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NCPS Cloud Interface Reference Architecture, Vols. 1–2</w:t>
      </w:r>
      <w:r>
        <w:t xml:space="preserve"> </w:t>
      </w:r>
      <w:r>
        <w:t xml:space="preserve">— the</w:t>
      </w:r>
      <w:r>
        <w:t xml:space="preserve"> </w:t>
      </w:r>
      <w:r>
        <w:t xml:space="preserve">reporting patterns for agency telemetry to CISA’s Cloud Log Aggregation</w:t>
      </w:r>
      <w:r>
        <w:t xml:space="preserve"> </w:t>
      </w:r>
      <w:r>
        <w:t xml:space="preserve">Warehouse (CLAW).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CISA extensible Visibility Reference Framework (eVRF)</w:t>
      </w:r>
      <w:r>
        <w:t xml:space="preserve"> </w:t>
      </w:r>
      <w:r>
        <w:t xml:space="preserve">— specifies the</w:t>
      </w:r>
      <w:r>
        <w:t xml:space="preserve"> </w:t>
      </w:r>
      <w:r>
        <w:t xml:space="preserve">telemetry required at each network vantage point; CIRA/CLAW carry it, they</w:t>
      </w:r>
      <w:r>
        <w:t xml:space="preserve"> </w:t>
      </w:r>
      <w:r>
        <w:t xml:space="preserve">do not define 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OMB Memorandum M-26-14</w:t>
      </w:r>
      <w:r>
        <w:t xml:space="preserve"> </w:t>
      </w:r>
      <w:r>
        <w:t xml:space="preserve">— Ensuring Effective and Efficient Agency Logging and Network Visibility (22 May 2026), rescinding M-21-31, Improving the Federal Government’s</w:t>
      </w:r>
      <w:r>
        <w:t xml:space="preserve"> </w:t>
      </w:r>
      <w:r>
        <w:t xml:space="preserve">Investigative and Remediation Capabilities (EL0–EL3 logging maturity).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OMB Memorandum M-22-09</w:t>
      </w:r>
      <w:r>
        <w:t xml:space="preserve"> </w:t>
      </w:r>
      <w:r>
        <w:t xml:space="preserve">— Moving the U.S. Government Toward Zero Trust</w:t>
      </w:r>
      <w:r>
        <w:t xml:space="preserve"> </w:t>
      </w:r>
      <w:r>
        <w:t xml:space="preserve">Cybersecurity Principles (encrypted-traffic and inspection posture).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FedRAMP,</w:t>
      </w:r>
      <w:r>
        <w:rPr>
          <w:b/>
          <w:bCs/>
        </w:rPr>
        <w:t xml:space="preserve"> </w:t>
      </w:r>
      <w:r>
        <w:rPr>
          <w:b/>
          <w:bCs/>
        </w:rPr>
        <w:t xml:space="preserve">“The Rev. 5 Approach to SC-8, and Protecting</w:t>
      </w:r>
      <w:r>
        <w:rPr>
          <w:b/>
          <w:bCs/>
        </w:rPr>
        <w:t xml:space="preserve"> </w:t>
      </w:r>
      <w:r>
        <w:rPr>
          <w:b/>
          <w:bCs/>
        </w:rPr>
        <w:t xml:space="preserve">Data-in-Transit”</w:t>
      </w:r>
      <w:r>
        <w:t xml:space="preserve"> </w:t>
      </w:r>
      <w:r>
        <w:t xml:space="preserve">(fedramp.gov, 2023-07-13).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NIST SP 800-53 Rev 5</w:t>
      </w:r>
      <w:r>
        <w:t xml:space="preserve"> </w:t>
      </w:r>
      <w:r>
        <w:t xml:space="preserve">— control text for SC-8 / SC-8(5) (Protected</w:t>
      </w:r>
      <w:r>
        <w:t xml:space="preserve"> </w:t>
      </w:r>
      <w:r>
        <w:t xml:space="preserve">Distribution System), SC-6, SC-5, SC-7(4), SC-7(8), SI-4(10), CP-8 and its</w:t>
      </w:r>
      <w:r>
        <w:t xml:space="preserve"> </w:t>
      </w:r>
      <w:r>
        <w:t xml:space="preserve">enhancements CP-8(1)–CP-8(4), and the Part 6 fleet controls;</w:t>
      </w:r>
      <w:r>
        <w:t xml:space="preserve"> </w:t>
      </w:r>
      <w:r>
        <w:rPr>
          <w:b/>
          <w:bCs/>
        </w:rPr>
        <w:t xml:space="preserve">NIST SP</w:t>
      </w:r>
      <w:r>
        <w:rPr>
          <w:b/>
          <w:bCs/>
        </w:rPr>
        <w:t xml:space="preserve"> </w:t>
      </w:r>
      <w:r>
        <w:rPr>
          <w:b/>
          <w:bCs/>
        </w:rPr>
        <w:t xml:space="preserve">800-37 Rev 2</w:t>
      </w:r>
      <w:r>
        <w:t xml:space="preserve"> </w:t>
      </w:r>
      <w:r>
        <w:t xml:space="preserve">— the RMF significant-change discipline behind Part 8</w:t>
      </w:r>
      <w:r>
        <w:t xml:space="preserve"> </w:t>
      </w:r>
      <w:r>
        <w:t xml:space="preserve">step 3.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CISA Binding Operational Directive 23-02</w:t>
      </w:r>
      <w:r>
        <w:t xml:space="preserve"> </w:t>
      </w:r>
      <w:r>
        <w:t xml:space="preserve">— Mitigating the Risk from</w:t>
      </w:r>
      <w:r>
        <w:t xml:space="preserve"> </w:t>
      </w:r>
      <w:r>
        <w:t xml:space="preserve">Internet-Exposed Management Interfaces (Part 6’s</w:t>
      </w:r>
      <w:r>
        <w:t xml:space="preserve"> </w:t>
      </w:r>
      <w:r>
        <w:t xml:space="preserve">“no management interface</w:t>
      </w:r>
      <w:r>
        <w:t xml:space="preserve"> </w:t>
      </w:r>
      <w:r>
        <w:t xml:space="preserve">on the internet”</w:t>
      </w:r>
      <w:r>
        <w:t xml:space="preserve"> </w:t>
      </w:r>
      <w:r>
        <w:t xml:space="preserve">baseline).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CISA Binding Operational Directive 22-01</w:t>
      </w:r>
      <w:r>
        <w:t xml:space="preserve"> </w:t>
      </w:r>
      <w:r>
        <w:t xml:space="preserve">— Reducing the Significant</w:t>
      </w:r>
      <w:r>
        <w:t xml:space="preserve"> </w:t>
      </w:r>
      <w:r>
        <w:t xml:space="preserve">Risk of Known Exploited Vulnerabilities (established the KEV catalog and</w:t>
      </w:r>
      <w:r>
        <w:t xml:space="preserve"> </w:t>
      </w:r>
      <w:r>
        <w:t xml:space="preserve">its CVE-specific remediation deadlines).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Microsoft 365 network connectivity principles</w:t>
      </w:r>
      <w:r>
        <w:t xml:space="preserve"> </w:t>
      </w:r>
      <w:r>
        <w:t xml:space="preserve">and endpoint categories</w:t>
      </w:r>
      <w:r>
        <w:t xml:space="preserve"> </w:t>
      </w:r>
      <w:r>
        <w:t xml:space="preserve">(Microsoft Learn);</w:t>
      </w:r>
      <w:r>
        <w:t xml:space="preserve"> </w:t>
      </w:r>
      <w:hyperlink r:id="rId73">
        <w:r>
          <w:rPr>
            <w:rStyle w:val="Hyperlink"/>
            <w:b/>
            <w:bCs/>
          </w:rPr>
          <w:t xml:space="preserve">Set up tenant restrictions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v2</w:t>
        </w:r>
      </w:hyperlink>
      <w:r>
        <w:t xml:space="preserve"> </w:t>
      </w:r>
      <w:r>
        <w:t xml:space="preserve">— the three enforcement paths and the v1/v2 comparison behind §5.5.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ITU-R Recommendation M.2160 (IMT-2030 framework)</w:t>
      </w:r>
      <w:r>
        <w:t xml:space="preserve">;</w:t>
      </w:r>
      <w:r>
        <w:t xml:space="preserve"> </w:t>
      </w:r>
      <w:r>
        <w:rPr>
          <w:b/>
          <w:bCs/>
        </w:rPr>
        <w:t xml:space="preserve">3GPP Release</w:t>
      </w:r>
      <w:r>
        <w:rPr>
          <w:b/>
          <w:bCs/>
        </w:rPr>
        <w:t xml:space="preserve"> </w:t>
      </w:r>
      <w:r>
        <w:rPr>
          <w:b/>
          <w:bCs/>
        </w:rPr>
        <w:t xml:space="preserve">20/21 6G study and specification timeline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RFC 8784, RFC 9370</w:t>
      </w:r>
      <w:r>
        <w:t xml:space="preserve"> </w:t>
      </w:r>
      <w:r>
        <w:t xml:space="preserve">— post-quantum interim key establishment for</w:t>
      </w:r>
      <w:r>
        <w:t xml:space="preserve"> </w:t>
      </w:r>
      <w:r>
        <w:t xml:space="preserve">IKEv2;</w:t>
      </w:r>
      <w:r>
        <w:t xml:space="preserve"> </w:t>
      </w:r>
      <w:r>
        <w:rPr>
          <w:b/>
          <w:bCs/>
        </w:rPr>
        <w:t xml:space="preserve">NIST FIPS 203 (ML-KEM)</w:t>
      </w:r>
      <w:r>
        <w:t xml:space="preserve">;</w:t>
      </w:r>
      <w:r>
        <w:t xml:space="preserve"> </w:t>
      </w:r>
      <w:r>
        <w:rPr>
          <w:b/>
          <w:bCs/>
        </w:rPr>
        <w:t xml:space="preserve">CNSA 2.0 / NSM-10</w:t>
      </w:r>
      <w:r>
        <w:t xml:space="preserve"> </w:t>
      </w:r>
      <w:r>
        <w:t xml:space="preserve">transition</w:t>
      </w:r>
      <w:r>
        <w:t xml:space="preserve"> </w:t>
      </w:r>
      <w:r>
        <w:t xml:space="preserve">guidance.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CISA Known Exploited Vulnerabilities catalog</w:t>
      </w:r>
      <w:r>
        <w:t xml:space="preserve"> </w:t>
      </w:r>
      <w:r>
        <w:t xml:space="preserve">— CVE-2024-39717 (Versa</w:t>
      </w:r>
      <w:r>
        <w:t xml:space="preserve"> </w:t>
      </w:r>
      <w:r>
        <w:t xml:space="preserve">Director) and the edge-management-plane exploitation record.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Lumen Black Lotus Labs</w:t>
      </w:r>
      <w:r>
        <w:t xml:space="preserve"> </w:t>
      </w:r>
      <w:r>
        <w:t xml:space="preserve">— exploitation of CVE-2024-39717 (Versa</w:t>
      </w:r>
      <w:r>
        <w:t xml:space="preserve"> </w:t>
      </w:r>
      <w:r>
        <w:t xml:space="preserve">Director) attributed with moderate confidence to Volt Typhoon activity.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Section 889, FY2019 NDAA</w:t>
      </w:r>
      <w:r>
        <w:t xml:space="preserve"> </w:t>
      </w:r>
      <w:r>
        <w:t xml:space="preserve">— covered telecommunications equipment and</w:t>
      </w:r>
      <w:r>
        <w:t xml:space="preserve"> </w:t>
      </w:r>
      <w:r>
        <w:t xml:space="preserve">services prohibitions.</w:t>
      </w:r>
    </w:p>
    <w:p>
      <w:r>
        <w:pict>
          <ns5:rect style="width:0;height:1.5pt" ns6:hralign="center" ns6:hrstd="t" ns6:hr="t"/>
        </w:pict>
      </w:r>
    </w:p>
    <w:bookmarkEnd w:id="90"/>
    <w:bookmarkStart w:id="93" w:name="call-to-action"/>
    <w:p>
      <w:pPr>
        <w:pStyle w:val="Heading2"/>
      </w:pPr>
      <w:r>
        <w:t xml:space="preserve">Call to Action</w:t>
      </w:r>
    </w:p>
    <w:p>
      <w:pPr>
        <w:pStyle w:val="FirstParagraph"/>
      </w:pPr>
      <w:r>
        <w:t xml:space="preserve">Part 8 already compresses this paper to an ordered checklist. What’s</w:t>
      </w:r>
      <w:r>
        <w:t xml:space="preserve"> </w:t>
      </w:r>
      <w:r>
        <w:t xml:space="preserve">still missing from most modernization schedules is a date and an owner</w:t>
      </w:r>
      <w:r>
        <w:t xml:space="preserve"> </w:t>
      </w:r>
      <w:r>
        <w:t xml:space="preserve">for each of its five steps.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91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92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Before the next transport or SD-WAN procurement decision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Run Part 8 as a checklist against your current portfolio, not 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future one.</w:t>
            </w:r>
            <w:r>
              <w:t xml:space="preserve"> </w:t>
            </w:r>
            <w:r>
              <w:t xml:space="preserve">For every circuit in flight today, answer step 1</w:t>
            </w:r>
            <w:r>
              <w:t xml:space="preserve"> </w:t>
            </w:r>
            <w:r>
              <w:t xml:space="preserve">(measured physics within the acquisition envelope) and step 2 (is</w:t>
            </w:r>
            <w:r>
              <w:t xml:space="preserve"> </w:t>
            </w:r>
            <w:r>
              <w:t xml:space="preserve">the governor deployed before the pipe carries production traffic) —</w:t>
            </w:r>
            <w:r>
              <w:t xml:space="preserve"> </w:t>
            </w:r>
            <w:r>
              <w:t xml:space="preserve">in that order.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File the CA-6 authorization boundary update before cutover, not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after.</w:t>
            </w:r>
            <w:r>
              <w:t xml:space="preserve"> </w:t>
            </w:r>
            <w:r>
              <w:t xml:space="preserve">Step 3 is the step most schedules skip. Distributed egress</w:t>
            </w:r>
            <w:r>
              <w:t xml:space="preserve"> </w:t>
            </w:r>
            <w:r>
              <w:t xml:space="preserve">is a significant change; the SSP and security-impact-analysis</w:t>
            </w:r>
            <w:r>
              <w:t xml:space="preserve"> </w:t>
            </w:r>
            <w:r>
              <w:t xml:space="preserve">paperwork belongs before branches move off the TIC hairpin.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Name the owner for each of the five steps.</w:t>
            </w:r>
            <w:r>
              <w:t xml:space="preserve"> </w:t>
            </w:r>
            <w:r>
              <w:t xml:space="preserve">Acquisition owns step</w:t>
            </w:r>
            <w:r>
              <w:t xml:space="preserve"> </w:t>
            </w:r>
            <w:r>
              <w:t xml:space="preserve">1’s SCRM/Section 889 envelope and the CP-8 enhancements; network</w:t>
            </w:r>
            <w:r>
              <w:t xml:space="preserve"> </w:t>
            </w:r>
            <w:r>
              <w:t xml:space="preserve">engineering owns steps 2 and 4; the AO/ISSO owns step 3’s</w:t>
            </w:r>
            <w:r>
              <w:t xml:space="preserve"> </w:t>
            </w:r>
            <w:r>
              <w:t xml:space="preserve">authorization decision; the OrgComp volumes (step 5) are the</w:t>
            </w:r>
            <w:r>
              <w:t xml:space="preserve"> </w:t>
            </w:r>
            <w:r>
              <w:t xml:space="preserve">register, not a substitute for an owner.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Bring the physics argument to the acquisition conversation, not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just the network diagram.</w:t>
            </w:r>
            <w:r>
              <w:t xml:space="preserve"> </w:t>
            </w:r>
            <w:r>
              <w:t xml:space="preserve">Part 8’s one-sentence version — physics</w:t>
            </w:r>
            <w:r>
              <w:t xml:space="preserve"> </w:t>
            </w:r>
            <w:r>
              <w:t xml:space="preserve">buys the pipe, diversity buys CP-8, the governor buys the protection</w:t>
            </w:r>
            <w:r>
              <w:t xml:space="preserve"> </w:t>
            </w:r>
            <w:r>
              <w:t xml:space="preserve">controls, TIC 3.0 is why you can’t stop at the pipe — is written to</w:t>
            </w:r>
            <w:r>
              <w:t xml:space="preserve"> </w:t>
            </w:r>
            <w:r>
              <w:t xml:space="preserve">be handed to whoever signs the transport contract.</w:t>
            </w:r>
          </w:p>
          <w:p/>
        </w:tc>
      </w:tr>
    </w:tbl>
    <w:p>
      <w:pPr>
        <w:pStyle w:val="FirstParagraph"/>
      </w:pPr>
      <w:r>
        <w:t xml:space="preserve">No future transport class, 6G included, changes which of these four</w:t>
      </w:r>
      <w:r>
        <w:t xml:space="preserve"> </w:t>
      </w:r>
      <w:r>
        <w:t xml:space="preserve">steps is optional. None of them are.</w:t>
      </w:r>
    </w:p>
    <w:bookmarkEnd w:id="93"/>
    <w:bookmarkEnd w:id="94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14:53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svg" /><Relationship Type="http://schemas.openxmlformats.org/officeDocument/2006/relationships/image" Id="rId24" Target="media/rId24.svg" /><Relationship Type="http://schemas.openxmlformats.org/officeDocument/2006/relationships/image" Id="rId59" Target="media/rId59.svg" /><Relationship Type="http://schemas.openxmlformats.org/officeDocument/2006/relationships/image" Id="rId69" Target="media/rId69.svg" /><Relationship Type="http://schemas.openxmlformats.org/officeDocument/2006/relationships/image" Id="rId63" Target="media/rId63.svg" /><Relationship Type="http://schemas.openxmlformats.org/officeDocument/2006/relationships/image" Id="rId85" Target="media/rId85.png" /><Relationship Type="http://schemas.openxmlformats.org/officeDocument/2006/relationships/image" Id="rId80" Target="media/rId80.svg" /><Relationship Type="http://schemas.openxmlformats.org/officeDocument/2006/relationships/image" Id="rId36" Target="media/rId36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30" Target="media/rId30.svg" /><Relationship Type="http://schemas.openxmlformats.org/officeDocument/2006/relationships/image" Id="rId52" Target="media/rId52.svg" /><Relationship Type="http://schemas.openxmlformats.org/officeDocument/2006/relationships/image" Id="rId43" Target="media/rId43.png" /><Relationship Type="http://schemas.openxmlformats.org/officeDocument/2006/relationships/hyperlink" Id="rId73" Target="https://learn.microsoft.com/en-us/entra/external-id/tenant-restrictions-v2" TargetMode="External" /><Relationship Type="http://schemas.openxmlformats.org/officeDocument/2006/relationships/hyperlink" Id="rId74" Target="https://whalermike.github.io/uiao/customer-documents/learning/entra-security-baseline-federal-crosswalk.html" TargetMode="External" /><Relationship Type="http://schemas.openxmlformats.org/officeDocument/2006/relationships/hyperlink" Id="rId17" Target="https://whalermike.github.io/uiao/customer-documents/orgcomp-series/Vol_0_Book_00_OrgComp_Executive_Summary.html" TargetMode="External" /><Relationship Type="http://schemas.openxmlformats.org/officeDocument/2006/relationships/hyperlink" Id="rId23" Target="https://whalermike.github.io/uiao/customer-documents/orgcomp-series/Vol_II_Book_03_OrgComp_Database_Consolidation_Network_Physics.html" TargetMode="External" /><Relationship Type="http://schemas.openxmlformats.org/officeDocument/2006/relationships/hyperlink" Id="rId76" Target="https://whalermike.github.io/uiao/customer-documents/orgcomp-series/Vol_I_Book_01_OrgComp_Cloud_Landing_Zone_IPAM_FedRAMP.html" TargetMode="External" /><Relationship Type="http://schemas.openxmlformats.org/officeDocument/2006/relationships/hyperlink" Id="rId67" Target="https://whalermike.github.io/uiao/customer-documents/orgcomp-series/Vol_I_Book_03_OrgComp_Certificates_Tokens_Cryptographic_Identity.html" TargetMode="External" /><Relationship Type="http://schemas.openxmlformats.org/officeDocument/2006/relationships/hyperlink" Id="rId28" Target="https://whalermike.github.io/uiao/customer-documents/orgcomp-series/Vol_I_Book_05_OrgComp_Network_Modernization.html" TargetMode="External" /><Relationship Type="http://schemas.openxmlformats.org/officeDocument/2006/relationships/hyperlink" Id="rId35" Target="https://whalermike.github.io/uiao/customer-documents/orgcomp-series/Vol_I_Book_06_OrgComp_Federal_Telecommunications_Modernization.html" TargetMode="External" /><Relationship Type="http://schemas.openxmlformats.org/officeDocument/2006/relationships/hyperlink" Id="rId49" Target="https://whalermike.github.io/uiao/customer-documents/orgcomp-series/Vol_I_Book_07_OrgComp_Network_Enforcement_Substrate.html" TargetMode="External" /><Relationship Type="http://schemas.openxmlformats.org/officeDocument/2006/relationships/hyperlink" Id="rId42" Target="https://www.cisa.gov/resources-tools/resources/using-sase-modern-tic-30-solution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learn.microsoft.com/en-us/entra/external-id/tenant-restrictions-v2" TargetMode="External" /><Relationship Type="http://schemas.openxmlformats.org/officeDocument/2006/relationships/hyperlink" Id="rId74" Target="https://whalermike.github.io/uiao/customer-documents/learning/entra-security-baseline-federal-crosswalk.html" TargetMode="External" /><Relationship Type="http://schemas.openxmlformats.org/officeDocument/2006/relationships/hyperlink" Id="rId17" Target="https://whalermike.github.io/uiao/customer-documents/orgcomp-series/Vol_0_Book_00_OrgComp_Executive_Summary.html" TargetMode="External" /><Relationship Type="http://schemas.openxmlformats.org/officeDocument/2006/relationships/hyperlink" Id="rId23" Target="https://whalermike.github.io/uiao/customer-documents/orgcomp-series/Vol_II_Book_03_OrgComp_Database_Consolidation_Network_Physics.html" TargetMode="External" /><Relationship Type="http://schemas.openxmlformats.org/officeDocument/2006/relationships/hyperlink" Id="rId76" Target="https://whalermike.github.io/uiao/customer-documents/orgcomp-series/Vol_I_Book_01_OrgComp_Cloud_Landing_Zone_IPAM_FedRAMP.html" TargetMode="External" /><Relationship Type="http://schemas.openxmlformats.org/officeDocument/2006/relationships/hyperlink" Id="rId67" Target="https://whalermike.github.io/uiao/customer-documents/orgcomp-series/Vol_I_Book_03_OrgComp_Certificates_Tokens_Cryptographic_Identity.html" TargetMode="External" /><Relationship Type="http://schemas.openxmlformats.org/officeDocument/2006/relationships/hyperlink" Id="rId28" Target="https://whalermike.github.io/uiao/customer-documents/orgcomp-series/Vol_I_Book_05_OrgComp_Network_Modernization.html" TargetMode="External" /><Relationship Type="http://schemas.openxmlformats.org/officeDocument/2006/relationships/hyperlink" Id="rId35" Target="https://whalermike.github.io/uiao/customer-documents/orgcomp-series/Vol_I_Book_06_OrgComp_Federal_Telecommunications_Modernization.html" TargetMode="External" /><Relationship Type="http://schemas.openxmlformats.org/officeDocument/2006/relationships/hyperlink" Id="rId49" Target="https://whalermike.github.io/uiao/customer-documents/orgcomp-series/Vol_I_Book_07_OrgComp_Network_Enforcement_Substrate.html" TargetMode="External" /><Relationship Type="http://schemas.openxmlformats.org/officeDocument/2006/relationships/hyperlink" Id="rId42" Target="https://www.cisa.gov/resources-tools/resources/using-sase-modern-tic-30-sol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SD-WAN vs. DIA Under TIC 3.0</dc:title>
  <dc:creator>Michael Stratton</dc:creator>
  <cp:keywords/>
  <dcterms:created xsi:type="dcterms:W3CDTF">2026-09-16T14:53:48Z</dcterms:created>
  <dcterms:modified xsi:type="dcterms:W3CDTF">2026-09-16T14:53:48Z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source">
    <vt:lpwstr>src/uiao/canon/</vt:lpwstr>
  </property>
  <property fmtid="{D5CDD505-2E9C-101B-9397-08002B2CF9AE}" pid="7" name="created-at">
    <vt:lpwstr>2026-07-28</vt:lpwstr>
  </property>
  <property fmtid="{D5CDD505-2E9C-101B-9397-08002B2CF9AE}" pid="8" name="date">
    <vt:lpwstr>2026-07-01</vt:lpwstr>
  </property>
  <property fmtid="{D5CDD505-2E9C-101B-9397-08002B2CF9AE}" pid="9" name="derived-from">
    <vt:lpwstr>Synthesized from the Federal Organization Compliance (OrgComp) series — Vol 0 Book 00 (Executive Summary), Vol I Book 05 (Network Modernization), Vol I Book 06 (Federal Telecommunications Modernization), Vol I Book 07 (Network Enforcement Substrate), Vol II Book 03 (Database Consolidation and Network Physics) — plus CISA TIC 3.0 guidance and use cases, OMB M-19-26 / M-26-14 / M-22-09, ITU-T G.114, FedRAMP’s Rev 5 SC-8 data-in-transit guidance, Microsoft 365 network connectivity principles, and ITU-R IMT-2030 / 3GPP 6G roadmap material. This paper owns the transport-versus-governance argument; the OrgComp volumes own the builds and the NIST control closures.</vt:lpwstr>
  </property>
  <property fmtid="{D5CDD505-2E9C-101B-9397-08002B2CF9AE}" pid="10" name="doc-type">
    <vt:lpwstr>whitepaper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fecycle">
    <vt:lpwstr>draft</vt:lpwstr>
  </property>
  <property fmtid="{D5CDD505-2E9C-101B-9397-08002B2CF9AE}" pid="16" name="lifecycle_review">
    <vt:lpwstr>2027-01-28</vt:lpwstr>
  </property>
  <property fmtid="{D5CDD505-2E9C-101B-9397-08002B2CF9AE}" pid="17" name="mermaid">
    <vt:lpwstr/>
  </property>
  <property fmtid="{D5CDD505-2E9C-101B-9397-08002B2CF9AE}" pid="18" name="repo-path">
    <vt:lpwstr>docs/customer-documents/whitepapers/tic3-sdwan-vs-dia.qmd</vt:lpwstr>
  </property>
  <property fmtid="{D5CDD505-2E9C-101B-9397-08002B2CF9AE}" pid="19" name="status">
    <vt:lpwstr>Draft</vt:lpwstr>
  </property>
  <property fmtid="{D5CDD505-2E9C-101B-9397-08002B2CF9AE}" pid="20" name="subtitle">
    <vt:lpwstr>Transport is a physics decision; control is a compliance decision; TIC 3.0 forbids making the first without the second — across fiber, MPLS, LEO satellite, and 5G/6G transports</vt:lpwstr>
  </property>
  <property fmtid="{D5CDD505-2E9C-101B-9397-08002B2CF9AE}" pid="21" name="tiers_adopted">
    <vt:lpwstr/>
  </property>
  <property fmtid="{D5CDD505-2E9C-101B-9397-08002B2CF9AE}" pid="22" name="toc-title">
    <vt:lpwstr>Table of contents</vt:lpwstr>
  </property>
  <property fmtid="{D5CDD505-2E9C-101B-9397-08002B2CF9AE}" pid="23" name="updated-at">
    <vt:lpwstr>2026-09-16</vt:lpwstr>
  </property>
  <property fmtid="{D5CDD505-2E9C-101B-9397-08002B2CF9AE}" pid="24" name="version">
    <vt:lpwstr>1.1</vt:lpwstr>
  </property>
</Properties>
</file>