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Zero Trust Governance Principles</w:t>
      </w:r>
    </w:p>
    <w:p>
      <w:pPr>
        <w:pStyle w:val="Subtitle"/>
      </w:pPr>
      <w:r>
        <w:t xml:space="preserve">Why CISA’s cross-cutting capabilities — not another per-pillar tool — are what moves a program past Initial maturity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zero-trust-governance-principles"/>
    <w:p>
      <w:pPr>
        <w:pStyle w:val="Heading1"/>
      </w:pPr>
      <w:r>
        <w:t xml:space="preserve">Zero Trust Governance Principles</w:t>
      </w:r>
    </w:p>
    <w:bookmarkStart w:id="49" w:name="Xa0fb5b68b104fba1320b9fb3dd100c0a138baf3"/>
    <w:p>
      <w:pPr>
        <w:pStyle w:val="Heading2"/>
      </w:pPr>
      <w:r>
        <w:t xml:space="preserve">Why CISA’s cross-cutting capabilities — not another per-pillar tool — are what moves a program past Initial maturity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Programs read CISA’s Zero Trust Maturity Model as a five-pillar</w:t>
            </w:r>
            <w:r>
              <w:t xml:space="preserve"> </w:t>
            </w:r>
            <w:r>
              <w:t xml:space="preserve">shopping list, spend two-plus years buying a tool per pillar, and stall at</w:t>
            </w:r>
            <w:r>
              <w:t xml:space="preserve"> </w:t>
            </w:r>
            <w:r>
              <w:t xml:space="preserve">Initial or low Advanced — because the model defines maturity as five pillars</w:t>
            </w:r>
            <w:r>
              <w:t xml:space="preserve"> </w:t>
            </w:r>
            <w:r>
              <w:rPr>
                <w:i/>
                <w:iCs/>
              </w:rPr>
              <w:t xml:space="preserve">operated through</w:t>
            </w:r>
            <w:r>
              <w:t xml:space="preserve"> </w:t>
            </w:r>
            <w:r>
              <w:t xml:space="preserve">three cross-cutting capabilities (Visibility and Analytics,</w:t>
            </w:r>
            <w:r>
              <w:t xml:space="preserve"> </w:t>
            </w:r>
            <w:r>
              <w:t xml:space="preserve">Automation and Orchestration, Governance), and Governance is the one federal</w:t>
            </w:r>
            <w:r>
              <w:t xml:space="preserve"> </w:t>
            </w:r>
            <w:r>
              <w:t xml:space="preserve">programs invest in least.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Five governance principles, argued from CISA, NIST, OMB, and</w:t>
            </w:r>
            <w:r>
              <w:t xml:space="preserve"> </w:t>
            </w:r>
            <w:r>
              <w:t xml:space="preserve">documented incidents rather than vendor guidance: identity is a necessary</w:t>
            </w:r>
            <w:r>
              <w:t xml:space="preserve"> </w:t>
            </w:r>
            <w:r>
              <w:t xml:space="preserve">anchor but not a self-authenticating one; privileged and administrative</w:t>
            </w:r>
            <w:r>
              <w:t xml:space="preserve"> </w:t>
            </w:r>
            <w:r>
              <w:t xml:space="preserve">identity needs controls of its own; continuous evidence is a governance</w:t>
            </w:r>
            <w:r>
              <w:t xml:space="preserve"> </w:t>
            </w:r>
            <w:r>
              <w:t xml:space="preserve">property, not a tool feature; governance must enforce, not only observe; and</w:t>
            </w:r>
            <w:r>
              <w:t xml:space="preserve"> </w:t>
            </w:r>
            <w:r>
              <w:t xml:space="preserve">the federal cloud boundary must be modeled, not assumed away — all owned at</w:t>
            </w:r>
            <w:r>
              <w:t xml:space="preserve"> </w:t>
            </w:r>
            <w:r>
              <w:t xml:space="preserve">agency level across Network, every CSP, and VMware.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Eight governance decisions this quarter (§13), none of them a</w:t>
            </w:r>
            <w:r>
              <w:t xml:space="preserve"> </w:t>
            </w:r>
            <w:r>
              <w:t xml:space="preserve">procurement: inventory which pillar evidence is reproducible, name a</w:t>
            </w:r>
            <w:r>
              <w:t xml:space="preserve"> </w:t>
            </w:r>
            <w:r>
              <w:t xml:space="preserve">cross-pillar correlation owner, stand up drift detection as a governance</w:t>
            </w:r>
            <w:r>
              <w:t xml:space="preserve"> </w:t>
            </w:r>
            <w:r>
              <w:t xml:space="preserve">function, model the cloud boundary, reconcile Network, CSP, and VMware asset</w:t>
            </w:r>
            <w:r>
              <w:t xml:space="preserve"> </w:t>
            </w:r>
            <w:r>
              <w:t xml:space="preserve">identity to one Tier-0 source, assign agency-level Zero Trust ownership</w:t>
            </w:r>
            <w:r>
              <w:t xml:space="preserve"> </w:t>
            </w:r>
            <w:r>
              <w:t xml:space="preserve">separate from any CSP, convert one detective control to preventive, and</w:t>
            </w:r>
            <w:r>
              <w:t xml:space="preserve"> </w:t>
            </w:r>
            <w:r>
              <w:t xml:space="preserve">time-box privileged access.</w:t>
            </w:r>
          </w:p>
          <w:p/>
        </w:tc>
      </w:tr>
    </w:tbl>
    <w:bookmarkStart w:id="16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CISA’s Zero Trust Maturity Model (ZTMM) v2.0 defines five pillars — Identity,</w:t>
      </w:r>
      <w:r>
        <w:t xml:space="preserve"> </w:t>
      </w:r>
      <w:r>
        <w:t xml:space="preserve">Devices, Networks, Applications &amp; Workloads, Data — each progressing through</w:t>
      </w:r>
      <w:r>
        <w:t xml:space="preserve"> </w:t>
      </w:r>
      <w:r>
        <w:t xml:space="preserve">four stages: Traditional, Initial, Advanced, Optimal. Most federal Zero Trust</w:t>
      </w:r>
      <w:r>
        <w:t xml:space="preserve"> </w:t>
      </w:r>
      <w:r>
        <w:t xml:space="preserve">programs read the model as a five-pillar shopping list, spend two-plus years</w:t>
      </w:r>
      <w:r>
        <w:t xml:space="preserve"> </w:t>
      </w:r>
      <w:r>
        <w:t xml:space="preserve">acquiring a point solution per pillar, and then stall at Initial or low</w:t>
      </w:r>
      <w:r>
        <w:t xml:space="preserve"> </w:t>
      </w:r>
      <w:r>
        <w:t xml:space="preserve">Advanced maturity. The reason is structural, and it is in the model itself:</w:t>
      </w:r>
      <w:r>
        <w:t xml:space="preserve"> </w:t>
      </w:r>
      <w:r>
        <w:t xml:space="preserve">CISA’s ZTMM does not define maturity as five independent pillar scores. It</w:t>
      </w:r>
      <w:r>
        <w:t xml:space="preserve"> </w:t>
      </w:r>
      <w:r>
        <w:t xml:space="preserve">defines maturity as five pillars</w:t>
      </w:r>
      <w:r>
        <w:t xml:space="preserve"> </w:t>
      </w:r>
      <w:r>
        <w:rPr>
          <w:b/>
          <w:bCs/>
        </w:rPr>
        <w:t xml:space="preserve">operated through three cross-cutting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capabilities</w:t>
      </w:r>
      <w:r>
        <w:t xml:space="preserve"> </w:t>
      </w:r>
      <w:r>
        <w:t xml:space="preserve">— Visibility and Analytics, Automation and Orchestration, and</w:t>
      </w:r>
      <w:r>
        <w:t xml:space="preserve"> </w:t>
      </w:r>
      <w:r>
        <w:t xml:space="preserve">Governance — that run underneath and across all five. A program that fully</w:t>
      </w:r>
      <w:r>
        <w:t xml:space="preserve"> </w:t>
      </w:r>
      <w:r>
        <w:t xml:space="preserve">tools every pillar but never builds the cross-cutting layer cannot reach</w:t>
      </w:r>
      <w:r>
        <w:t xml:space="preserve"> </w:t>
      </w:r>
      <w:r>
        <w:t xml:space="preserve">Advanced or Optimal, because those stages are explicitly defined in terms of</w:t>
      </w:r>
      <w:r>
        <w:t xml:space="preserve"> </w:t>
      </w:r>
      <w:r>
        <w:t xml:space="preserve">continuous, automated, cross-pillar behavior — exactly what the cross-cutting</w:t>
      </w:r>
      <w:r>
        <w:t xml:space="preserve"> </w:t>
      </w:r>
      <w:r>
        <w:t xml:space="preserve">capabilities, not the pillar tools, are responsible for producing.</w:t>
      </w:r>
    </w:p>
    <w:p>
      <w:pPr>
        <w:pStyle w:val="BodyText"/>
      </w:pPr>
      <w:r>
        <w:t xml:space="preserve">This paper sets out the governance principles that close that gap: what</w:t>
      </w:r>
      <w:r>
        <w:t xml:space="preserve"> </w:t>
      </w:r>
      <w:r>
        <w:t xml:space="preserve">specific adversary techniques these principles exist to defeat, why identity</w:t>
      </w:r>
      <w:r>
        <w:t xml:space="preserve"> </w:t>
      </w:r>
      <w:r>
        <w:t xml:space="preserve">is a necessary anchor but not a sufficient one — and why treating it as a</w:t>
      </w:r>
      <w:r>
        <w:t xml:space="preserve"> </w:t>
      </w:r>
      <w:r>
        <w:t xml:space="preserve">single, self-authenticating root of trust recreates the same failure mode</w:t>
      </w:r>
      <w:r>
        <w:t xml:space="preserve"> </w:t>
      </w:r>
      <w:r>
        <w:t xml:space="preserve">Zero Trust is supposed to retire — why privileged and administrative identity</w:t>
      </w:r>
      <w:r>
        <w:t xml:space="preserve"> </w:t>
      </w:r>
      <w:r>
        <w:t xml:space="preserve">need controls of their own, why continuous evidence is a governance property</w:t>
      </w:r>
      <w:r>
        <w:t xml:space="preserve"> </w:t>
      </w:r>
      <w:r>
        <w:t xml:space="preserve">and not a per-tool feature, why governance has to include enforcement and not</w:t>
      </w:r>
      <w:r>
        <w:t xml:space="preserve"> </w:t>
      </w:r>
      <w:r>
        <w:t xml:space="preserve">only visibility, and how the federal cloud-boundary constraints most agencies</w:t>
      </w:r>
      <w:r>
        <w:t xml:space="preserve"> </w:t>
      </w:r>
      <w:r>
        <w:t xml:space="preserve">operate under (GCC-class environments, TIC 3.0 boundary requirements) have to</w:t>
      </w:r>
      <w:r>
        <w:t xml:space="preserve"> </w:t>
      </w:r>
      <w:r>
        <w:t xml:space="preserve">be modeled explicitly rather than assumed away. It also makes a point that</w:t>
      </w:r>
      <w:r>
        <w:t xml:space="preserve"> </w:t>
      </w:r>
      <w:r>
        <w:t xml:space="preserve">gets lost as soon as an agency starts collecting per-vendor scorecards: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b/>
          <w:bCs/>
        </w:rPr>
        <w:t xml:space="preserve">Trust has to be owned and assessed at the agency level, even though —</w:t>
      </w:r>
      <w:r>
        <w:rPr>
          <w:b/>
          <w:bCs/>
        </w:rPr>
        <w:t xml:space="preserve"> </w:t>
      </w:r>
      <w:r>
        <w:rPr>
          <w:b/>
          <w:bCs/>
        </w:rPr>
        <w:t xml:space="preserve">especially because — individual cloud service providers each offer their own</w:t>
      </w:r>
      <w:r>
        <w:rPr>
          <w:b/>
          <w:bCs/>
        </w:rPr>
        <w:t xml:space="preserve"> </w:t>
      </w:r>
      <w:r>
        <w:rPr>
          <w:b/>
          <w:bCs/>
        </w:rPr>
        <w:t xml:space="preserve">native assessment tool.</w:t>
      </w:r>
      <w:r>
        <w:t xml:space="preserve"> </w:t>
      </w:r>
      <w:r>
        <w:t xml:space="preserve">A CSP’s own tool can only ever see its own platform;</w:t>
      </w:r>
      <w:r>
        <w:t xml:space="preserve"> </w:t>
      </w:r>
      <w:r>
        <w:t xml:space="preserve">the agency is the only party positioned to hold one Zero Trust posture across</w:t>
      </w:r>
      <w:r>
        <w:t xml:space="preserve"> </w:t>
      </w:r>
      <w:r>
        <w:t xml:space="preserve">all of them. None of this is vendor guidance — every claim traces to CISA,</w:t>
      </w:r>
      <w:r>
        <w:t xml:space="preserve"> </w:t>
      </w:r>
      <w:r>
        <w:t xml:space="preserve">NIST, OMB, and documented incident source material, cited throughout.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X6d940cc928f54015c4dc2714d31d9f6e8cf902c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images/zero-trust-governance-principles-image-01-horse-before-the-cart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Horse before the cart — unify Network, CSPs, and VMware first; let assessment confirm it</w:t>
            </w:r>
          </w:p>
          <w:bookmarkEnd w:id="15"/>
        </w:tc>
      </w:tr>
    </w:tbl>
    <w:bookmarkEnd w:id="16"/>
    <w:bookmarkStart w:id="17" w:name="X0913abf727543b3de946287a40efc83a532ad7c"/>
    <w:p>
      <w:pPr>
        <w:pStyle w:val="Heading3"/>
      </w:pPr>
      <w:r>
        <w:t xml:space="preserve">1. Why Zero Trust programs stall below Advanced</w:t>
      </w:r>
    </w:p>
    <w:p>
      <w:pPr>
        <w:pStyle w:val="FirstParagraph"/>
      </w:pPr>
      <w:r>
        <w:t xml:space="preserve">Three governance failure patterns recur across federal Zero Trust programs,</w:t>
      </w:r>
      <w:r>
        <w:t xml:space="preserve"> </w:t>
      </w:r>
      <w:r>
        <w:t xml:space="preserve">independent of which pillar tools an agency has bought:</w:t>
      </w:r>
    </w:p>
    <w:p>
      <w:pPr>
        <w:pStyle w:val="BodyText"/>
      </w:pPr>
      <w:r>
        <w:rPr>
          <w:b/>
          <w:bCs/>
        </w:rPr>
        <w:t xml:space="preserve">Pattern 1 — pillars are administered, not governed.</w:t>
      </w:r>
      <w:r>
        <w:t xml:space="preserve"> </w:t>
      </w:r>
      <w:r>
        <w:t xml:space="preserve">Each pillar gets an</w:t>
      </w:r>
      <w:r>
        <w:t xml:space="preserve"> </w:t>
      </w:r>
      <w:r>
        <w:t xml:space="preserve">owner, a tool, and a roadmap, but there is no shared authority correlating</w:t>
      </w:r>
      <w:r>
        <w:t xml:space="preserve"> </w:t>
      </w:r>
      <w:r>
        <w:t xml:space="preserve">decisions across them. An identity assertion evaluated in the Identity pillar</w:t>
      </w:r>
      <w:r>
        <w:t xml:space="preserve"> </w:t>
      </w:r>
      <w:r>
        <w:t xml:space="preserve">is not verifiable from the Data pillar; device posture from the Devices</w:t>
      </w:r>
      <w:r>
        <w:t xml:space="preserve"> </w:t>
      </w:r>
      <w:r>
        <w:t xml:space="preserve">pillar cannot be correlated with workload identity in Applications &amp;</w:t>
      </w:r>
      <w:r>
        <w:t xml:space="preserve"> </w:t>
      </w:r>
      <w:r>
        <w:t xml:space="preserve">Workloads. Cross-pillar policy decisions degrade to the lowest common</w:t>
      </w:r>
      <w:r>
        <w:t xml:space="preserve"> </w:t>
      </w:r>
      <w:r>
        <w:t xml:space="preserve">denominator — usually a static allow-list — because no governance layer</w:t>
      </w:r>
      <w:r>
        <w:t xml:space="preserve"> </w:t>
      </w:r>
      <w:r>
        <w:t xml:space="preserve">resolves the pillars against each other.</w:t>
      </w:r>
    </w:p>
    <w:p>
      <w:pPr>
        <w:pStyle w:val="BodyText"/>
      </w:pPr>
      <w:r>
        <w:rPr>
          <w:b/>
          <w:bCs/>
        </w:rPr>
        <w:t xml:space="preserve">Pattern 2 — evidence is per-tool, not per-claim.</w:t>
      </w:r>
      <w:r>
        <w:t xml:space="preserve"> </w:t>
      </w:r>
      <w:r>
        <w:t xml:space="preserve">Each pillar’s tool emits</w:t>
      </w:r>
      <w:r>
        <w:t xml:space="preserve"> </w:t>
      </w:r>
      <w:r>
        <w:t xml:space="preserve">evidence shaped by its own vendor’s schema. Assembling that into a single</w:t>
      </w:r>
      <w:r>
        <w:t xml:space="preserve"> </w:t>
      </w:r>
      <w:r>
        <w:t xml:space="preserve">authorization narrative for a FedRAMP or Authority to Operate package is a</w:t>
      </w:r>
      <w:r>
        <w:t xml:space="preserve"> </w:t>
      </w:r>
      <w:r>
        <w:t xml:space="preserve">manual, point-in-time exercise, and it does not survive re-execution: the</w:t>
      </w:r>
      <w:r>
        <w:t xml:space="preserve"> </w:t>
      </w:r>
      <w:r>
        <w:t xml:space="preserve">tool’s configuration has usually drifted since the evidence was captured, so</w:t>
      </w:r>
      <w:r>
        <w:t xml:space="preserve"> </w:t>
      </w:r>
      <w:r>
        <w:t xml:space="preserve">“re-run the audit”</w:t>
      </w:r>
      <w:r>
        <w:t xml:space="preserve"> </w:t>
      </w:r>
      <w:r>
        <w:t xml:space="preserve">produces a different answer than the one on file.</w:t>
      </w:r>
    </w:p>
    <w:p>
      <w:pPr>
        <w:pStyle w:val="BodyText"/>
      </w:pPr>
      <w:r>
        <w:rPr>
          <w:b/>
          <w:bCs/>
        </w:rPr>
        <w:t xml:space="preserve">Pattern 3 — drift is discovered at audit time, not continuously.</w:t>
      </w:r>
      <w:r>
        <w:t xml:space="preserve"> </w:t>
      </w:r>
      <w:r>
        <w:t xml:space="preserve">Absent a</w:t>
      </w:r>
      <w:r>
        <w:t xml:space="preserve"> </w:t>
      </w:r>
      <w:r>
        <w:t xml:space="preserve">governance-level drift capability, the gap between declared policy and</w:t>
      </w:r>
      <w:r>
        <w:t xml:space="preserve"> </w:t>
      </w:r>
      <w:r>
        <w:t xml:space="preserve">runtime reality surfaces only when an assessor finds it — a Security Control</w:t>
      </w:r>
      <w:r>
        <w:t xml:space="preserve"> </w:t>
      </w:r>
      <w:r>
        <w:t xml:space="preserve">Assessment, a 3PAO review, or an incident. By then remediation is reactive,</w:t>
      </w:r>
      <w:r>
        <w:t xml:space="preserve"> </w:t>
      </w:r>
      <w:r>
        <w:t xml:space="preserve">and the agency has been carrying undisclosed risk for however long the drift</w:t>
      </w:r>
      <w:r>
        <w:t xml:space="preserve"> </w:t>
      </w:r>
      <w:r>
        <w:t xml:space="preserve">went undetected.</w:t>
      </w:r>
    </w:p>
    <w:p>
      <w:pPr>
        <w:pStyle w:val="BodyText"/>
      </w:pPr>
      <w:r>
        <w:t xml:space="preserve">CISA’s own ZTMM v2.0 Advanced and Optimal stage criteria call for exactly the</w:t>
      </w:r>
      <w:r>
        <w:t xml:space="preserve"> </w:t>
      </w:r>
      <w:r>
        <w:t xml:space="preserve">properties these three patterns block: continuous verification, automated</w:t>
      </w:r>
      <w:r>
        <w:t xml:space="preserve"> </w:t>
      </w:r>
      <w:r>
        <w:t xml:space="preserve">policy evaluation, and cross-pillar correlation. None of the three is</w:t>
      </w:r>
      <w:r>
        <w:t xml:space="preserve"> </w:t>
      </w:r>
      <w:r>
        <w:t xml:space="preserve">achievable by adding another per-pillar tool. They are, definitionally,</w:t>
      </w:r>
      <w:r>
        <w:t xml:space="preserve"> </w:t>
      </w:r>
      <w:r>
        <w:t xml:space="preserve">governance-capability work.</w:t>
      </w:r>
    </w:p>
    <w:bookmarkEnd w:id="17"/>
    <w:bookmarkStart w:id="18" w:name="what-zero-trust-actually-defends-against"/>
    <w:p>
      <w:pPr>
        <w:pStyle w:val="Heading3"/>
      </w:pPr>
      <w:r>
        <w:t xml:space="preserve">2. What Zero Trust actually defends against</w:t>
      </w:r>
    </w:p>
    <w:p>
      <w:pPr>
        <w:pStyle w:val="FirstParagraph"/>
      </w:pPr>
      <w:r>
        <w:t xml:space="preserve">Every principle in this paper exists to defeat specific, documented adversary</w:t>
      </w:r>
      <w:r>
        <w:t xml:space="preserve"> </w:t>
      </w:r>
      <w:r>
        <w:t xml:space="preserve">techniques — not to satisfy an abstract maturity model for its own sake.</w:t>
      </w:r>
      <w:r>
        <w:t xml:space="preserve"> </w:t>
      </w:r>
      <w:r>
        <w:t xml:space="preserve">Grounding the model in actual incidents matters because a governance program</w:t>
      </w:r>
      <w:r>
        <w:t xml:space="preserve"> </w:t>
      </w:r>
      <w:r>
        <w:t xml:space="preserve">that reaches every CISA maturity criterion on paper can still miss the</w:t>
      </w:r>
      <w:r>
        <w:t xml:space="preserve"> </w:t>
      </w:r>
      <w:r>
        <w:t xml:space="preserve">intrusion pattern it was meant to stop.</w:t>
      </w:r>
    </w:p>
    <w:p>
      <w:pPr>
        <w:pStyle w:val="BodyText"/>
      </w:pPr>
      <w:r>
        <w:t xml:space="preserve">Four attack patterns motivate the principles that follow: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Identity-plane compromise at the root.</w:t>
      </w:r>
      <w:r>
        <w:t xml:space="preserve"> </w:t>
      </w:r>
      <w:r>
        <w:t xml:space="preserve">In 2023, a China-based actor</w:t>
      </w:r>
      <w:r>
        <w:t xml:space="preserve"> </w:t>
      </w:r>
      <w:r>
        <w:t xml:space="preserve">tracked as Storm-0558 stole a Microsoft signing key and exploited a</w:t>
      </w:r>
      <w:r>
        <w:t xml:space="preserve"> </w:t>
      </w:r>
      <w:r>
        <w:t xml:space="preserve">token-validation flaw to forge authentication tokens, reading email at</w:t>
      </w:r>
      <w:r>
        <w:t xml:space="preserve"> </w:t>
      </w:r>
      <w:r>
        <w:t xml:space="preserve">roughly 25 organizations — including the U.S. Department of State and</w:t>
      </w:r>
      <w:r>
        <w:t xml:space="preserve"> </w:t>
      </w:r>
      <w:r>
        <w:t xml:space="preserve">Department of Commerce — for weeks before detection. The federal Cyber</w:t>
      </w:r>
      <w:r>
        <w:t xml:space="preserve"> </w:t>
      </w:r>
      <w:r>
        <w:t xml:space="preserve">Safety Review Board’s subsequent report called the breach</w:t>
      </w:r>
      <w:r>
        <w:t xml:space="preserve"> </w:t>
      </w:r>
      <w:r>
        <w:t xml:space="preserve">“preventable.”</w:t>
      </w:r>
      <w:r>
        <w:t xml:space="preserve"> </w:t>
      </w:r>
      <w:r>
        <w:t xml:space="preserve">This is the direct counter-example to treating identity as an</w:t>
      </w:r>
      <w:r>
        <w:t xml:space="preserve"> </w:t>
      </w:r>
      <w:r>
        <w:t xml:space="preserve">unconditionally trusted root: when the root of trust is compromised, the</w:t>
      </w:r>
      <w:r>
        <w:t xml:space="preserve"> </w:t>
      </w:r>
      <w:r>
        <w:t xml:space="preserve">blast radius is every relying party that trusted it, and it can happen</w:t>
      </w:r>
      <w:r>
        <w:t xml:space="preserve"> </w:t>
      </w:r>
      <w:r>
        <w:t xml:space="preserve">without a single endpoint or network control ever firing. §4 and §5 return</w:t>
      </w:r>
      <w:r>
        <w:t xml:space="preserve"> </w:t>
      </w:r>
      <w:r>
        <w:t xml:space="preserve">to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Hypervisor and virtualization-layer compromise that bypasses guest-OS</w:t>
      </w:r>
      <w:r>
        <w:rPr>
          <w:b/>
          <w:bCs/>
        </w:rPr>
        <w:t xml:space="preserve"> </w:t>
      </w:r>
      <w:r>
        <w:rPr>
          <w:b/>
          <w:bCs/>
        </w:rPr>
        <w:t xml:space="preserve">telemetry entirely.</w:t>
      </w:r>
      <w:r>
        <w:t xml:space="preserve"> </w:t>
      </w:r>
      <w:r>
        <w:t xml:space="preserve">The February 2023</w:t>
      </w:r>
      <w:r>
        <w:t xml:space="preserve"> </w:t>
      </w:r>
      <w:r>
        <w:t xml:space="preserve">“ESXiArgs”</w:t>
      </w:r>
      <w:r>
        <w:t xml:space="preserve"> </w:t>
      </w:r>
      <w:r>
        <w:t xml:space="preserve">ransomware campaign</w:t>
      </w:r>
      <w:r>
        <w:t xml:space="preserve"> </w:t>
      </w:r>
      <w:r>
        <w:t xml:space="preserve">exploited a two-year-old, unauthenticated heap-overflow vulnerability</w:t>
      </w:r>
      <w:r>
        <w:t xml:space="preserve"> </w:t>
      </w:r>
      <w:r>
        <w:t xml:space="preserve">(CVE-2021-21974) in ESXi’s OpenSLP service, compromising thousands of</w:t>
      </w:r>
      <w:r>
        <w:t xml:space="preserve"> </w:t>
      </w:r>
      <w:r>
        <w:t xml:space="preserve">internet-facing hosts before CISA and the FBI issued a joint advisory. In</w:t>
      </w:r>
      <w:r>
        <w:t xml:space="preserve"> </w:t>
      </w:r>
      <w:r>
        <w:t xml:space="preserve">July 2024, CVE-2024-37085 — an ESXi Active Directory-integration</w:t>
      </w:r>
      <w:r>
        <w:t xml:space="preserve"> </w:t>
      </w:r>
      <w:r>
        <w:t xml:space="preserve">authentication bypass — was exploited by multiple ransomware operators to</w:t>
      </w:r>
      <w:r>
        <w:t xml:space="preserve"> </w:t>
      </w:r>
      <w:r>
        <w:t xml:space="preserve">gain full administrative control of domain-joined hypervisors by</w:t>
      </w:r>
      <w:r>
        <w:t xml:space="preserve"> </w:t>
      </w:r>
      <w:r>
        <w:t xml:space="preserve">recreating a deleted</w:t>
      </w:r>
      <w:r>
        <w:t xml:space="preserve"> </w:t>
      </w:r>
      <w:r>
        <w:t xml:space="preserve">“ESX Admins”</w:t>
      </w:r>
      <w:r>
        <w:t xml:space="preserve"> </w:t>
      </w:r>
      <w:r>
        <w:t xml:space="preserve">AD group; ESXi trusted the group’s</w:t>
      </w:r>
      <w:r>
        <w:t xml:space="preserve"> </w:t>
      </w:r>
      <w:r>
        <w:rPr>
          <w:i/>
          <w:iCs/>
        </w:rPr>
        <w:t xml:space="preserve">name</w:t>
      </w:r>
      <w:r>
        <w:t xml:space="preserve">, not a verified, continuously-resolved identity. Both cases share a</w:t>
      </w:r>
      <w:r>
        <w:t xml:space="preserve"> </w:t>
      </w:r>
      <w:r>
        <w:t xml:space="preserve">property no guest-OS-level Zero Trust control can see: the attacker never</w:t>
      </w:r>
      <w:r>
        <w:t xml:space="preserve"> </w:t>
      </w:r>
      <w:r>
        <w:t xml:space="preserve">touches a monitored workload, because the hypervisor sits</w:t>
      </w:r>
      <w:r>
        <w:t xml:space="preserve"> </w:t>
      </w:r>
      <w:r>
        <w:rPr>
          <w:i/>
          <w:iCs/>
        </w:rPr>
        <w:t xml:space="preserve">beneath</w:t>
      </w:r>
      <w:r>
        <w:t xml:space="preserve"> </w:t>
      </w:r>
      <w:r>
        <w:t xml:space="preserve">every</w:t>
      </w:r>
      <w:r>
        <w:t xml:space="preserve"> </w:t>
      </w:r>
      <w:r>
        <w:t xml:space="preserve">guest’s telemetry. §9 returns to this directly.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Lateral movement through flat, VPN-reachable network segments.</w:t>
      </w:r>
      <w:r>
        <w:t xml:space="preserve"> </w:t>
      </w:r>
      <w:r>
        <w:t xml:space="preserve">Implicit trust granted by network location — a VPN tunnel, a flat virtual</w:t>
      </w:r>
      <w:r>
        <w:t xml:space="preserve"> </w:t>
      </w:r>
      <w:r>
        <w:t xml:space="preserve">network, an unsegmented VLAN — is the mechanism, not an incidental detail,</w:t>
      </w:r>
      <w:r>
        <w:t xml:space="preserve"> </w:t>
      </w:r>
      <w:r>
        <w:t xml:space="preserve">behind most large-scale ransomware and lateral-movement campaigns. It is</w:t>
      </w:r>
      <w:r>
        <w:t xml:space="preserve"> </w:t>
      </w:r>
      <w:r>
        <w:t xml:space="preserve">the specific thing NIST SP 800-207 defines Zero Trust against.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Abuse of the governance and evidence layer itself</w:t>
      </w:r>
      <w:r>
        <w:t xml:space="preserve"> </w:t>
      </w:r>
      <w:r>
        <w:t xml:space="preserve">— an agency that</w:t>
      </w:r>
      <w:r>
        <w:t xml:space="preserve"> </w:t>
      </w:r>
      <w:r>
        <w:t xml:space="preserve">names an owner and writes a policy but never wires in automated,</w:t>
      </w:r>
      <w:r>
        <w:t xml:space="preserve"> </w:t>
      </w:r>
      <w:r>
        <w:t xml:space="preserve">preventive enforcement has built a reporting system, not a control. §7</w:t>
      </w:r>
      <w:r>
        <w:t xml:space="preserve"> </w:t>
      </w:r>
      <w:r>
        <w:t xml:space="preserve">treats this as a first-class governance failure, not a footnote.</w:t>
      </w:r>
    </w:p>
    <w:p>
      <w:pPr>
        <w:pStyle w:val="FirstParagraph"/>
      </w:pPr>
      <w:r>
        <w:t xml:space="preserve">None of the principles that follow are abstractions from the ZTMM document</w:t>
      </w:r>
      <w:r>
        <w:t xml:space="preserve"> </w:t>
      </w:r>
      <w:r>
        <w:t xml:space="preserve">alone; each is a direct architectural response to one of these four</w:t>
      </w:r>
      <w:r>
        <w:t xml:space="preserve"> </w:t>
      </w:r>
      <w:r>
        <w:t xml:space="preserve">patterns.</w:t>
      </w:r>
    </w:p>
    <w:bookmarkEnd w:id="18"/>
    <w:bookmarkStart w:id="20" w:name="the-model-most-agencies-read-half-of"/>
    <w:p>
      <w:pPr>
        <w:pStyle w:val="Heading3"/>
      </w:pPr>
      <w:r>
        <w:t xml:space="preserve">3. The model most agencies read half of</w:t>
      </w:r>
    </w:p>
    <w:p>
      <w:pPr>
        <w:pStyle w:val="FirstParagraph"/>
      </w:pPr>
      <w:hyperlink r:id="rId19">
        <w:r>
          <w:rPr>
            <w:rStyle w:val="Hyperlink"/>
          </w:rPr>
          <w:t xml:space="preserve">CISA’s Zero Trust Maturity Model v2.0</w:t>
        </w:r>
      </w:hyperlink>
      <w:r>
        <w:t xml:space="preserve"> </w:t>
      </w:r>
      <w:r>
        <w:t xml:space="preserve">is usually summarized as</w:t>
      </w:r>
      <w:r>
        <w:t xml:space="preserve"> </w:t>
      </w:r>
      <w:r>
        <w:t xml:space="preserve">“five pillars, four stages”</w:t>
      </w:r>
      <w:r>
        <w:t xml:space="preserve"> </w:t>
      </w:r>
      <w:r>
        <w:t xml:space="preserve">— and that summary is</w:t>
      </w:r>
      <w:r>
        <w:t xml:space="preserve"> </w:t>
      </w:r>
      <w:r>
        <w:t xml:space="preserve">incomplete. The model explicitly layers</w:t>
      </w:r>
      <w:r>
        <w:t xml:space="preserve"> </w:t>
      </w:r>
      <w:r>
        <w:rPr>
          <w:b/>
          <w:bCs/>
        </w:rPr>
        <w:t xml:space="preserve">three cross-cutting capabilities</w:t>
      </w:r>
      <w:r>
        <w:t xml:space="preserve"> </w:t>
      </w:r>
      <w:r>
        <w:t xml:space="preserve">underneath and across the five pillars:</w:t>
      </w:r>
      <w:r>
        <w:t xml:space="preserve"> </w:t>
      </w:r>
      <w:r>
        <w:rPr>
          <w:b/>
          <w:bCs/>
        </w:rPr>
        <w:t xml:space="preserve">Visibility and Analytics</w:t>
      </w:r>
      <w:r>
        <w:t xml:space="preserve">,</w:t>
      </w:r>
      <w:r>
        <w:t xml:space="preserve"> </w:t>
      </w:r>
      <w:r>
        <w:rPr>
          <w:b/>
          <w:bCs/>
        </w:rPr>
        <w:t xml:space="preserve">Automation and Orchestration</w:t>
      </w:r>
      <w:r>
        <w:t xml:space="preserve">, and</w:t>
      </w:r>
      <w:r>
        <w:t xml:space="preserve"> </w:t>
      </w:r>
      <w:r>
        <w:rPr>
          <w:b/>
          <w:bCs/>
        </w:rPr>
        <w:t xml:space="preserve">Governance</w:t>
      </w:r>
      <w:r>
        <w:t xml:space="preserve">. These are how an agency</w:t>
      </w:r>
      <w:r>
        <w:t xml:space="preserve"> </w:t>
      </w:r>
      <w:r>
        <w:t xml:space="preserve">operates the pillars at scale rather than by hand, and CISA’s own stage</w:t>
      </w:r>
      <w:r>
        <w:t xml:space="preserve"> </w:t>
      </w:r>
      <w:r>
        <w:t xml:space="preserve">descriptions for Advanced and Optimal maturity are written in terms of these</w:t>
      </w:r>
      <w:r>
        <w:t xml:space="preserve"> </w:t>
      </w:r>
      <w:r>
        <w:t xml:space="preserve">capabilities, not additional pillar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Cross-cutting capability</w:t>
            </w:r>
          </w:p>
        </w:tc>
        <w:tc>
          <w:tcPr/>
          <w:p>
            <w:pPr>
              <w:pStyle w:val="Compact"/>
            </w:pPr>
            <w:r>
              <w:t xml:space="preserve">What it means operationally</w:t>
            </w:r>
          </w:p>
        </w:tc>
        <w:tc>
          <w:tcPr/>
          <w:p>
            <w:pPr>
              <w:pStyle w:val="Compact"/>
            </w:pPr>
            <w:r>
              <w:t xml:space="preserve">Why pillar tooling alone can’t provide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 and Analytics</w:t>
            </w:r>
          </w:p>
        </w:tc>
        <w:tc>
          <w:tcPr/>
          <w:p>
            <w:pPr>
              <w:pStyle w:val="Compact"/>
            </w:pPr>
            <w:r>
              <w:t xml:space="preserve">A single, correlated view of signal across all five pillars — not five separate dashboards</w:t>
            </w:r>
          </w:p>
        </w:tc>
        <w:tc>
          <w:tcPr/>
          <w:p>
            <w:pPr>
              <w:pStyle w:val="Compact"/>
            </w:pPr>
            <w:r>
              <w:t xml:space="preserve">Each pillar tool sees only its own pillar; correlation requires a layer that ingests all five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and Orchestration</w:t>
            </w:r>
          </w:p>
        </w:tc>
        <w:tc>
          <w:tcPr/>
          <w:p>
            <w:pPr>
              <w:pStyle w:val="Compact"/>
            </w:pPr>
            <w:r>
              <w:t xml:space="preserve">Policy decisions and remediation actions execute automatically, at machine speed, across pillar boundaries</w:t>
            </w:r>
          </w:p>
        </w:tc>
        <w:tc>
          <w:tcPr/>
          <w:p>
            <w:pPr>
              <w:pStyle w:val="Compact"/>
            </w:pPr>
            <w:r>
              <w:t xml:space="preserve">Per-pillar tools automate within their own pillar; cross-pillar orchestration is, by definition, above any single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The authority and mechanism to set policy, hold every pillar accountable to a common standard, and — critically — enforce that standard automatically rather than only observe it</w:t>
            </w:r>
          </w:p>
        </w:tc>
        <w:tc>
          <w:tcPr/>
          <w:p>
            <w:pPr>
              <w:pStyle w:val="Compact"/>
            </w:pPr>
            <w:r>
              <w:t xml:space="preserve">Governance is inherently a cross-pillar function; a tool can supply telemetry or even a policy engine, but the organizational authority to set the standard, and the mandate to enforce it, cannot be purchased as a product</w:t>
            </w:r>
          </w:p>
        </w:tc>
      </w:tr>
    </w:tbl>
    <w:p>
      <w:pPr>
        <w:pStyle w:val="BodyText"/>
      </w:pPr>
      <w:r>
        <w:t xml:space="preserve">Of the three,</w:t>
      </w:r>
      <w:r>
        <w:t xml:space="preserve"> </w:t>
      </w:r>
      <w:r>
        <w:rPr>
          <w:b/>
          <w:bCs/>
        </w:rPr>
        <w:t xml:space="preserve">Governance is the capability most federal Zero Trust programs</w:t>
      </w:r>
      <w:r>
        <w:rPr>
          <w:b/>
          <w:bCs/>
        </w:rPr>
        <w:t xml:space="preserve"> </w:t>
      </w:r>
      <w:r>
        <w:rPr>
          <w:b/>
          <w:bCs/>
        </w:rPr>
        <w:t xml:space="preserve">shortchange</w:t>
      </w:r>
      <w:r>
        <w:t xml:space="preserve"> </w:t>
      </w:r>
      <w:r>
        <w:t xml:space="preserve">— not because no vendor sells governance-adjacent tooling (GRC,</w:t>
      </w:r>
      <w:r>
        <w:t xml:space="preserve"> </w:t>
      </w:r>
      <w:r>
        <w:t xml:space="preserve">CNAPP, and CSPM platforms all ship governance modules), but because none of</w:t>
      </w:r>
      <w:r>
        <w:t xml:space="preserve"> </w:t>
      </w:r>
      <w:r>
        <w:t xml:space="preserve">those tools substitutes for the organizational authority and enforcement</w:t>
      </w:r>
      <w:r>
        <w:t xml:space="preserve"> </w:t>
      </w:r>
      <w:r>
        <w:t xml:space="preserve">mandate governance actually requires. Budget and staffing default to pillar</w:t>
      </w:r>
      <w:r>
        <w:t xml:space="preserve"> </w:t>
      </w:r>
      <w:r>
        <w:t xml:space="preserve">tooling instead, in part because tooling is procurable and organizational</w:t>
      </w:r>
      <w:r>
        <w:t xml:space="preserve"> </w:t>
      </w:r>
      <w:r>
        <w:t xml:space="preserve">authority is not. The remainder of this paper is a set of concrete governance</w:t>
      </w:r>
      <w:r>
        <w:t xml:space="preserve"> </w:t>
      </w:r>
      <w:r>
        <w:t xml:space="preserve">principles for closing that gap — including, in §7, the distinction between</w:t>
      </w:r>
      <w:r>
        <w:t xml:space="preserve"> </w:t>
      </w:r>
      <w:r>
        <w:t xml:space="preserve">governance that merely observes and governance that enforces.</w:t>
      </w:r>
    </w:p>
    <w:bookmarkEnd w:id="20"/>
    <w:bookmarkStart w:id="22" w:name="X6fa225027ca634a115585ea589fd7b5822c2d57"/>
    <w:p>
      <w:pPr>
        <w:pStyle w:val="Heading3"/>
      </w:pPr>
      <w:r>
        <w:t xml:space="preserve">4. Principle one — identity is a necessary anchor, not a sufficient one</w:t>
      </w:r>
    </w:p>
    <w:p>
      <w:pPr>
        <w:pStyle w:val="FirstParagraph"/>
      </w:pPr>
      <w:r>
        <w:t xml:space="preserve">NIST SP 800-207,</w:t>
      </w:r>
      <w:r>
        <w:t xml:space="preserve"> </w:t>
      </w:r>
      <w:r>
        <w:rPr>
          <w:i/>
          <w:iCs/>
        </w:rPr>
        <w:t xml:space="preserve">Zero Trust Architecture</w:t>
      </w:r>
      <w:r>
        <w:t xml:space="preserve">, defines the Zero Trust core logic</w:t>
      </w:r>
      <w:r>
        <w:t xml:space="preserve"> </w:t>
      </w:r>
      <w:r>
        <w:t xml:space="preserve">as a Policy Decision Point that evaluates subject identity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device state, resource sensitivity, and behavioral/environmental signals for</w:t>
      </w:r>
      <w:r>
        <w:t xml:space="preserve"> </w:t>
      </w:r>
      <w:r>
        <w:t xml:space="preserve">every access request. This is worth stating precisely, because it is</w:t>
      </w:r>
      <w:r>
        <w:t xml:space="preserve"> </w:t>
      </w:r>
      <w:r>
        <w:t xml:space="preserve">commonly compressed into</w:t>
      </w:r>
      <w:r>
        <w:t xml:space="preserve"> </w:t>
      </w:r>
      <w:r>
        <w:t xml:space="preserve">“identity is the new perimeter.”</w:t>
      </w:r>
      <w:r>
        <w:t xml:space="preserve"> </w:t>
      </w:r>
      <w:r>
        <w:t xml:space="preserve">NIST 800-207 does</w:t>
      </w:r>
      <w:r>
        <w:t xml:space="preserve"> </w:t>
      </w:r>
      <w:r>
        <w:t xml:space="preserve">not rank identity as the supreme, self-authenticating signal above the</w:t>
      </w:r>
      <w:r>
        <w:t xml:space="preserve"> </w:t>
      </w:r>
      <w:r>
        <w:t xml:space="preserve">others; it requires continuous evaluation of</w:t>
      </w:r>
      <w:r>
        <w:t xml:space="preserve"> </w:t>
      </w:r>
      <w:r>
        <w:rPr>
          <w:i/>
          <w:iCs/>
        </w:rPr>
        <w:t xml:space="preserve">multiple</w:t>
      </w:r>
      <w:r>
        <w:t xml:space="preserve"> </w:t>
      </w:r>
      <w:r>
        <w:t xml:space="preserve">signals precisely</w:t>
      </w:r>
      <w:r>
        <w:t xml:space="preserve"> </w:t>
      </w:r>
      <w:r>
        <w:t xml:space="preserve">because no single signal, including identity, should ever be trusted</w:t>
      </w:r>
      <w:r>
        <w:t xml:space="preserve"> </w:t>
      </w:r>
      <w:r>
        <w:t xml:space="preserve">unconditionally. An architecture that treats a validated identity as</w:t>
      </w:r>
      <w:r>
        <w:t xml:space="preserve"> </w:t>
      </w:r>
      <w:r>
        <w:t xml:space="preserve">sufficient on its own — rather than as one input a policy engine continuously</w:t>
      </w:r>
      <w:r>
        <w:t xml:space="preserve"> </w:t>
      </w:r>
      <w:r>
        <w:t xml:space="preserve">re-evaluates alongside device posture and behavior — has rebuilt the old</w:t>
      </w:r>
      <w:r>
        <w:t xml:space="preserve"> </w:t>
      </w:r>
      <w:r>
        <w:t xml:space="preserve">perimeter model one layer up: an identity perimeter instead of a network one,</w:t>
      </w:r>
      <w:r>
        <w:t xml:space="preserve"> </w:t>
      </w:r>
      <w:r>
        <w:t xml:space="preserve">with everything behind a valid token or session inheriting trust the same way</w:t>
      </w:r>
      <w:r>
        <w:t xml:space="preserve"> </w:t>
      </w:r>
      <w:r>
        <w:t xml:space="preserve">everything behind a firewall once did.</w:t>
      </w:r>
    </w:p>
    <w:p>
      <w:pPr>
        <w:pStyle w:val="BodyText"/>
      </w:pPr>
      <w:r>
        <w:t xml:space="preserve">Storm-0558 (§2) is the concrete demonstration of why this matters. The root</w:t>
      </w:r>
      <w:r>
        <w:t xml:space="preserve"> </w:t>
      </w:r>
      <w:r>
        <w:t xml:space="preserve">of trust was Microsoft’s own token-signing infrastructure; when it was</w:t>
      </w:r>
      <w:r>
        <w:t xml:space="preserve"> </w:t>
      </w:r>
      <w:r>
        <w:t xml:space="preserve">compromised, every relying party that trusted a validly-signed token was</w:t>
      </w:r>
      <w:r>
        <w:t xml:space="preserve"> </w:t>
      </w:r>
      <w:r>
        <w:t xml:space="preserve">exposed, and the compromise was invisible to every control operating below</w:t>
      </w:r>
      <w:r>
        <w:t xml:space="preserve"> </w:t>
      </w:r>
      <w:r>
        <w:t xml:space="preserve">the identity layer. Centralizing trust in identity is still the right</w:t>
      </w:r>
      <w:r>
        <w:t xml:space="preserve"> </w:t>
      </w:r>
      <w:r>
        <w:t xml:space="preserve">architectural move — Pattern 1’s cross-pillar correlation problem (§1) is</w:t>
      </w:r>
      <w:r>
        <w:t xml:space="preserve"> </w:t>
      </w:r>
      <w:r>
        <w:t xml:space="preserve">genuinely intractable without it — but centralizing trust also centralizes</w:t>
      </w:r>
      <w:r>
        <w:t xml:space="preserve"> </w:t>
      </w:r>
      <w:r>
        <w:t xml:space="preserve">risk, and a governance program that elevates identity architecturally</w:t>
      </w:r>
      <w:r>
        <w:t xml:space="preserve"> </w:t>
      </w:r>
      <w:r>
        <w:t xml:space="preserve">without also hardening it operationally has traded one single point of</w:t>
      </w:r>
      <w:r>
        <w:t xml:space="preserve"> </w:t>
      </w:r>
      <w:r>
        <w:t xml:space="preserve">failure for another.</w:t>
      </w:r>
    </w:p>
    <w:p>
      <w:pPr>
        <w:pStyle w:val="BodyText"/>
      </w:pPr>
      <w:r>
        <w:t xml:space="preserve">OMB’s M-22-09 makes the same structural point about identity’s</w:t>
      </w:r>
      <w:r>
        <w:t xml:space="preserve"> </w:t>
      </w:r>
      <w:r>
        <w:rPr>
          <w:i/>
          <w:iCs/>
        </w:rPr>
        <w:t xml:space="preserve">priority</w:t>
      </w:r>
      <w:r>
        <w:t xml:space="preserve">,</w:t>
      </w:r>
      <w:r>
        <w:t xml:space="preserve"> </w:t>
      </w:r>
      <w:r>
        <w:t xml:space="preserve">not its</w:t>
      </w:r>
      <w:r>
        <w:t xml:space="preserve"> </w:t>
      </w:r>
      <w:r>
        <w:rPr>
          <w:i/>
          <w:iCs/>
        </w:rPr>
        <w:t xml:space="preserve">sufficiency</w:t>
      </w:r>
      <w:r>
        <w:t xml:space="preserve">: phishing-resistant MFA and enterprise-managed identity</w:t>
      </w:r>
      <w:r>
        <w:t xml:space="preserve"> </w:t>
      </w:r>
      <w:r>
        <w:t xml:space="preserve">are prerequisites the other pillars build on. The governance principle that</w:t>
      </w:r>
      <w:r>
        <w:t xml:space="preserve"> </w:t>
      </w:r>
      <w:r>
        <w:t xml:space="preserve">follows from both sources together:</w:t>
      </w:r>
    </w:p>
    <w:p>
      <w:pPr>
        <w:pStyle w:val="BodyText"/>
      </w:pPr>
      <w:r>
        <w:rPr>
          <w:b/>
          <w:bCs/>
        </w:rPr>
        <w:t xml:space="preserve">identity has to function as the addressing root the other pillars resolve</w:t>
      </w:r>
      <w:r>
        <w:rPr>
          <w:b/>
          <w:bCs/>
        </w:rPr>
        <w:t xml:space="preserve"> </w:t>
      </w:r>
      <w:r>
        <w:rPr>
          <w:b/>
          <w:bCs/>
        </w:rPr>
        <w:t xml:space="preserve">against, and that root has to be defended as the highest-value target in the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— not treated as self-authenticating once established.</w:t>
      </w:r>
      <w:r>
        <w:t xml:space="preserve"> </w:t>
      </w:r>
      <w:r>
        <w:t xml:space="preserve">In</w:t>
      </w:r>
      <w:r>
        <w:t xml:space="preserve"> </w:t>
      </w:r>
      <w:r>
        <w:t xml:space="preserve">practice, this means both of the following are true at once:</w:t>
      </w:r>
    </w:p>
    <w:p>
      <w:pPr>
        <w:pStyle w:val="Compact"/>
        <w:numPr>
          <w:ilvl w:val="0"/>
          <w:numId w:val="1002"/>
        </w:numPr>
      </w:pPr>
      <w:r>
        <w:t xml:space="preserve">A device’s compliance record should be</w:t>
      </w:r>
      <w:r>
        <w:t xml:space="preserve"> </w:t>
      </w:r>
      <w:r>
        <w:rPr>
          <w:i/>
          <w:iCs/>
        </w:rPr>
        <w:t xml:space="preserve">keyed to</w:t>
      </w:r>
      <w:r>
        <w:t xml:space="preserve"> </w:t>
      </w:r>
      <w:r>
        <w:t xml:space="preserve">an identity-plane</w:t>
      </w:r>
      <w:r>
        <w:t xml:space="preserve"> </w:t>
      </w:r>
      <w:r>
        <w:t xml:space="preserve">object, not maintained in a separate device inventory reconciled by hand —</w:t>
      </w:r>
      <w:r>
        <w:t xml:space="preserve"> </w:t>
      </w:r>
      <w:r>
        <w:t xml:space="preserve">this is the architectural half.</w:t>
      </w:r>
    </w:p>
    <w:p>
      <w:pPr>
        <w:pStyle w:val="Compact"/>
        <w:numPr>
          <w:ilvl w:val="0"/>
          <w:numId w:val="1002"/>
        </w:numPr>
      </w:pPr>
      <w:r>
        <w:t xml:space="preserve">The identity plane itself needs continuous access evaluation (re-checking</w:t>
      </w:r>
      <w:r>
        <w:t xml:space="preserve"> </w:t>
      </w:r>
      <w:r>
        <w:t xml:space="preserve">session validity as conditions change, not trusting a token for its full</w:t>
      </w:r>
      <w:r>
        <w:t xml:space="preserve"> </w:t>
      </w:r>
      <w:r>
        <w:t xml:space="preserve">nominal lifetime), short token lifetimes, hardware-bound or</w:t>
      </w:r>
      <w:r>
        <w:t xml:space="preserve"> </w:t>
      </w:r>
      <w:r>
        <w:t xml:space="preserve">phishing-resistant credentials, and signing-key material protected in</w:t>
      </w:r>
      <w:r>
        <w:t xml:space="preserve"> </w:t>
      </w:r>
      <w:r>
        <w:t xml:space="preserve">hardware (HSM-backed, with rotation and access logging) — this is the</w:t>
      </w:r>
      <w:r>
        <w:t xml:space="preserve"> </w:t>
      </w:r>
      <w:r>
        <w:t xml:space="preserve">operational half, and it is not optional simply because the architectural</w:t>
      </w:r>
      <w:r>
        <w:t xml:space="preserve"> </w:t>
      </w:r>
      <w:r>
        <w:t xml:space="preserve">half is sound. For the credential-family mechanics — which authenticator</w:t>
      </w:r>
      <w:r>
        <w:t xml:space="preserve"> </w:t>
      </w:r>
      <w:r>
        <w:t xml:space="preserve">classes actually resist verifier impersonation — see</w:t>
      </w:r>
      <w:r>
        <w:t xml:space="preserve"> </w:t>
      </w:r>
      <w:hyperlink r:id="rId21">
        <w:r>
          <w:rPr>
            <w:rStyle w:val="Hyperlink"/>
          </w:rPr>
          <w:t xml:space="preserve">OrgComp Vol I Book 03,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“Certificate-Based Authentication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Phishing-Resistant MFA”</w:t>
        </w:r>
      </w:hyperlink>
      <w:r>
        <w:t xml:space="preserve">.</w:t>
      </w:r>
    </w:p>
    <w:p>
      <w:pPr>
        <w:pStyle w:val="FirstParagraph"/>
      </w:pPr>
      <w:r>
        <w:t xml:space="preserve">This is the architectural reason the cross-pillar correlation problem in</w:t>
      </w:r>
      <w:r>
        <w:t xml:space="preserve"> </w:t>
      </w:r>
      <w:r>
        <w:t xml:space="preserve">Pattern 1 (§1) is tractable at all: if every pillar resolves against the</w:t>
      </w:r>
      <w:r>
        <w:t xml:space="preserve"> </w:t>
      </w:r>
      <w:r>
        <w:t xml:space="preserve">same identity plane, cross-pillar correlation reduces to</w:t>
      </w:r>
      <w:r>
        <w:t xml:space="preserve"> </w:t>
      </w:r>
      <w:r>
        <w:rPr>
          <w:i/>
          <w:iCs/>
        </w:rPr>
        <w:t xml:space="preserve">resolving identity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consistently</w:t>
      </w:r>
      <w:r>
        <w:t xml:space="preserve">, which a governed identity plane already has to do. It is</w:t>
      </w:r>
      <w:r>
        <w:t xml:space="preserve"> </w:t>
      </w:r>
      <w:r>
        <w:t xml:space="preserve">also, unavoidably, the reason a compromise of that plane is catastrophic</w:t>
      </w:r>
      <w:r>
        <w:t xml:space="preserve"> </w:t>
      </w:r>
      <w:r>
        <w:t xml:space="preserve">rather than contained — which is precisely why §5 treats privileged and</w:t>
      </w:r>
      <w:r>
        <w:t xml:space="preserve"> </w:t>
      </w:r>
      <w:r>
        <w:t xml:space="preserve">administrative identity as a distinct principle rather than folding it into</w:t>
      </w:r>
      <w:r>
        <w:t xml:space="preserve"> </w:t>
      </w:r>
      <w:r>
        <w:t xml:space="preserve">this one.</w:t>
      </w:r>
    </w:p>
    <w:bookmarkEnd w:id="22"/>
    <w:bookmarkStart w:id="23" w:name="Xb4363acd979e297b0dc2b8556ec15ab59bc1498"/>
    <w:p>
      <w:pPr>
        <w:pStyle w:val="Heading3"/>
      </w:pPr>
      <w:r>
        <w:t xml:space="preserve">5. Principle two — privileged and administrative identity is the highest-value target, and needs controls of its own</w:t>
      </w:r>
    </w:p>
    <w:p>
      <w:pPr>
        <w:pStyle w:val="FirstParagraph"/>
      </w:pPr>
      <w:r>
        <w:t xml:space="preserve">If identity is the addressing root (§4), administrative identity is the root</w:t>
      </w:r>
      <w:r>
        <w:t xml:space="preserve"> </w:t>
      </w:r>
      <w:r>
        <w:t xml:space="preserve">of the root: a Global Administrator credential, a hypervisor management-plane</w:t>
      </w:r>
      <w:r>
        <w:t xml:space="preserve"> </w:t>
      </w:r>
      <w:r>
        <w:t xml:space="preserve">admin, or a CSP account-root/organization-management identity has reach</w:t>
      </w:r>
      <w:r>
        <w:t xml:space="preserve"> </w:t>
      </w:r>
      <w:r>
        <w:t xml:space="preserve">across everything the identity plane touches. CVE-2024-37085 (§2) is the</w:t>
      </w:r>
      <w:r>
        <w:t xml:space="preserve"> </w:t>
      </w:r>
      <w:r>
        <w:t xml:space="preserve">sharpest available illustration of why this cannot be an afterthought: ESXi’s</w:t>
      </w:r>
      <w:r>
        <w:t xml:space="preserve"> </w:t>
      </w:r>
      <w:r>
        <w:t xml:space="preserve">Active Directory integration trusted an AD group</w:t>
      </w:r>
      <w:r>
        <w:t xml:space="preserve"> </w:t>
      </w:r>
      <w:r>
        <w:rPr>
          <w:b/>
          <w:bCs/>
        </w:rPr>
        <w:t xml:space="preserve">by name</w:t>
      </w:r>
      <w:r>
        <w:t xml:space="preserve">, not by a</w:t>
      </w:r>
      <w:r>
        <w:t xml:space="preserve"> </w:t>
      </w:r>
      <w:r>
        <w:t xml:space="preserve">continuously re-verified, non-recreatable identity — an attacker with</w:t>
      </w:r>
      <w:r>
        <w:t xml:space="preserve"> </w:t>
      </w:r>
      <w:r>
        <w:t xml:space="preserve">sufficient AD permissions could delete and recreate the</w:t>
      </w:r>
      <w:r>
        <w:t xml:space="preserve"> </w:t>
      </w:r>
      <w:r>
        <w:t xml:space="preserve">“ESX Admins”</w:t>
      </w:r>
      <w:r>
        <w:t xml:space="preserve"> </w:t>
      </w:r>
      <w:r>
        <w:t xml:space="preserve">group</w:t>
      </w:r>
      <w:r>
        <w:t xml:space="preserve"> </w:t>
      </w:r>
      <w:r>
        <w:t xml:space="preserve">and inherit full hypervisor administrative rights, because the hypervisor</w:t>
      </w:r>
      <w:r>
        <w:t xml:space="preserve"> </w:t>
      </w:r>
      <w:r>
        <w:t xml:space="preserve">never re-validated that the group’s membership was the group it originally</w:t>
      </w:r>
      <w:r>
        <w:t xml:space="preserve"> </w:t>
      </w:r>
      <w:r>
        <w:t xml:space="preserve">trusted. Identity-plane trust and privileged-access trust are not the same</w:t>
      </w:r>
      <w:r>
        <w:t xml:space="preserve"> </w:t>
      </w:r>
      <w:r>
        <w:t xml:space="preserve">problem, and a governance program that solves the first without a distinct</w:t>
      </w:r>
      <w:r>
        <w:t xml:space="preserve"> </w:t>
      </w:r>
      <w:r>
        <w:t xml:space="preserve">answer for the second leaves exactly this gap open.</w:t>
      </w:r>
    </w:p>
    <w:p>
      <w:pPr>
        <w:pStyle w:val="BodyText"/>
      </w:pPr>
      <w:r>
        <w:t xml:space="preserve">Concrete governance requirements this principle imposes, none of which the</w:t>
      </w:r>
      <w:r>
        <w:t xml:space="preserve"> </w:t>
      </w:r>
      <w:r>
        <w:t xml:space="preserve">identity-as-root architecture in §4 provides by itself: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Privileged access is time-boxed and just-in-time</w:t>
      </w:r>
      <w:r>
        <w:t xml:space="preserve">, not standing. A</w:t>
      </w:r>
      <w:r>
        <w:t xml:space="preserve"> </w:t>
      </w:r>
      <w:r>
        <w:t xml:space="preserve">Global Admin or hypervisor-admin role held continuously is a</w:t>
      </w:r>
      <w:r>
        <w:t xml:space="preserve"> </w:t>
      </w:r>
      <w:r>
        <w:t xml:space="preserve">continuously-available blast radius; granted for a bounded window against</w:t>
      </w:r>
      <w:r>
        <w:t xml:space="preserve"> </w:t>
      </w:r>
      <w:r>
        <w:t xml:space="preserve">a specific, logged request, it is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Break-glass accounts are governed artifacts, not an unwritten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exception.</w:t>
      </w:r>
      <w:r>
        <w:t xml:space="preserve"> </w:t>
      </w:r>
      <w:r>
        <w:t xml:space="preserve">Every emergency-access path needs its own owner, its own</w:t>
      </w:r>
      <w:r>
        <w:t xml:space="preserve"> </w:t>
      </w:r>
      <w:r>
        <w:t xml:space="preserve">monitoring, and its own periodic validation that it still requires</w:t>
      </w:r>
      <w:r>
        <w:t xml:space="preserve"> </w:t>
      </w:r>
      <w:r>
        <w:t xml:space="preserve">emergency status — an undocumented break-glass account is a permanent,</w:t>
      </w:r>
      <w:r>
        <w:t xml:space="preserve"> </w:t>
      </w:r>
      <w:r>
        <w:t xml:space="preserve">unaudited standing privilege wearing an excuse.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Privileged-plane changes are independently verified, not</w:t>
      </w:r>
      <w:r>
        <w:rPr>
          <w:b/>
          <w:bCs/>
        </w:rPr>
        <w:t xml:space="preserve"> </w:t>
      </w:r>
      <w:r>
        <w:rPr>
          <w:b/>
          <w:bCs/>
        </w:rPr>
        <w:t xml:space="preserve">self-attested.</w:t>
      </w:r>
      <w:r>
        <w:t xml:space="preserve"> </w:t>
      </w:r>
      <w:r>
        <w:t xml:space="preserve">The CVE-2024-37085 failure mode — trusting a security</w:t>
      </w:r>
      <w:r>
        <w:t xml:space="preserve"> </w:t>
      </w:r>
      <w:r>
        <w:t xml:space="preserve">group’s name without re-verifying its provenance — generalizes: any</w:t>
      </w:r>
      <w:r>
        <w:t xml:space="preserve"> </w:t>
      </w:r>
      <w:r>
        <w:t xml:space="preserve">control that grants elevated access based on group membership, role</w:t>
      </w:r>
      <w:r>
        <w:t xml:space="preserve"> </w:t>
      </w:r>
      <w:r>
        <w:t xml:space="preserve">assignment, or tag needs a mechanism confirming that membership was not</w:t>
      </w:r>
      <w:r>
        <w:t xml:space="preserve"> </w:t>
      </w:r>
      <w:r>
        <w:t xml:space="preserve">itself attacker-created.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Admin-plane telemetry is monitored as its own high-priority stream</w:t>
      </w:r>
      <w:r>
        <w:t xml:space="preserve">,</w:t>
      </w:r>
      <w:r>
        <w:t xml:space="preserve"> </w:t>
      </w:r>
      <w:r>
        <w:t xml:space="preserve">not folded into general device or identity logging where a</w:t>
      </w:r>
      <w:r>
        <w:t xml:space="preserve"> </w:t>
      </w:r>
      <w:r>
        <w:t xml:space="preserve">privileged-access event is one line among thousands.</w:t>
      </w:r>
    </w:p>
    <w:p>
      <w:pPr>
        <w:pStyle w:val="FirstParagraph"/>
      </w:pPr>
      <w:r>
        <w:t xml:space="preserve">None of this substitutes for §4’s identity-as-root architecture — it is the</w:t>
      </w:r>
      <w:r>
        <w:t xml:space="preserve"> </w:t>
      </w:r>
      <w:r>
        <w:t xml:space="preserve">answer to the question that architecture creates but does not itself</w:t>
      </w:r>
      <w:r>
        <w:t xml:space="preserve"> </w:t>
      </w:r>
      <w:r>
        <w:t xml:space="preserve">resolve:</w:t>
      </w:r>
      <w:r>
        <w:t xml:space="preserve"> </w:t>
      </w:r>
      <w:r>
        <w:rPr>
          <w:i/>
          <w:iCs/>
        </w:rPr>
        <w:t xml:space="preserve">if identity is the root, who is watching the root’s own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administrators?</w:t>
      </w:r>
    </w:p>
    <w:bookmarkEnd w:id="23"/>
    <w:bookmarkStart w:id="25" w:name="X0ec0b4f464031d12520c45b5e6a9a73818cdf15"/>
    <w:p>
      <w:pPr>
        <w:pStyle w:val="Heading3"/>
      </w:pPr>
      <w:r>
        <w:t xml:space="preserve">6. Principle three — continuous evidence is a governance property, not a tool feature</w:t>
      </w:r>
    </w:p>
    <w:p>
      <w:pPr>
        <w:pStyle w:val="FirstParagraph"/>
      </w:pPr>
      <w:r>
        <w:t xml:space="preserve">CISA’s Optimal maturity stage requires continuous, automated verification;</w:t>
      </w:r>
      <w:r>
        <w:t xml:space="preserve"> </w:t>
      </w:r>
      <w:r>
        <w:t xml:space="preserve">NIST SP 800-137 (</w:t>
      </w:r>
      <w:r>
        <w:rPr>
          <w:i/>
          <w:iCs/>
        </w:rPr>
        <w:t xml:space="preserve">Information Security Continuous Monitoring</w:t>
      </w:r>
      <w:r>
        <w:t xml:space="preserve">) and NIST</w:t>
      </w:r>
      <w:r>
        <w:t xml:space="preserve"> </w:t>
      </w:r>
      <w:r>
        <w:t xml:space="preserve">800-53’s CA-7 control describe the same requirement as an ongoing program,</w:t>
      </w:r>
      <w:r>
        <w:t xml:space="preserve"> </w:t>
      </w:r>
      <w:r>
        <w:t xml:space="preserve">not a point-in-time assessment. CISA’s</w:t>
      </w:r>
      <w:r>
        <w:t xml:space="preserve"> </w:t>
      </w:r>
      <w:hyperlink r:id="rId24">
        <w:r>
          <w:rPr>
            <w:rStyle w:val="Hyperlink"/>
          </w:rPr>
          <w:t xml:space="preserve">Binding Operational Directive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25-01</w:t>
        </w:r>
      </w:hyperlink>
      <w:r>
        <w:t xml:space="preserve"> </w:t>
      </w:r>
      <w:r>
        <w:t xml:space="preserve">operationalizes this for federal cloud services specifically: agencies must</w:t>
      </w:r>
      <w:r>
        <w:t xml:space="preserve"> </w:t>
      </w:r>
      <w:r>
        <w:t xml:space="preserve">not only assess Microsoft 365 configuration against the SCuBA baseline, they</w:t>
      </w:r>
      <w:r>
        <w:t xml:space="preserve"> </w:t>
      </w:r>
      <w:r>
        <w:t xml:space="preserve">must integrate that assessment with continuous-monitoring infrastructure and</w:t>
      </w:r>
      <w:r>
        <w:t xml:space="preserve"> </w:t>
      </w:r>
      <w:r>
        <w:rPr>
          <w:b/>
          <w:bCs/>
        </w:rPr>
        <w:t xml:space="preserve">remediate deviations</w:t>
      </w:r>
      <w:r>
        <w:t xml:space="preserve"> </w:t>
      </w:r>
      <w:r>
        <w:t xml:space="preserve">on an ongoing basis — a scan report alone does not</w:t>
      </w:r>
      <w:r>
        <w:t xml:space="preserve"> </w:t>
      </w:r>
      <w:r>
        <w:t xml:space="preserve">satisfy the directive.</w:t>
      </w:r>
      <w:r>
        <w:t xml:space="preserve"> </w:t>
      </w:r>
      <w:r>
        <w:rPr>
          <w:b/>
          <w:bCs/>
        </w:rPr>
        <w:t xml:space="preserve">BOD 25-01’s scope is M365-specific</w:t>
      </w:r>
      <w:r>
        <w:t xml:space="preserve"> </w:t>
      </w:r>
      <w:r>
        <w:t xml:space="preserve">— it does not</w:t>
      </w:r>
      <w:r>
        <w:t xml:space="preserve"> </w:t>
      </w:r>
      <w:r>
        <w:t xml:space="preserve">itself mandate continuous monitoring for a CSP’s non-M365 workloads, an</w:t>
      </w:r>
      <w:r>
        <w:t xml:space="preserve"> </w:t>
      </w:r>
      <w:r>
        <w:t xml:space="preserve">agency’s network boundary, or a VMware estate — but it is useful here as</w:t>
      </w:r>
      <w:r>
        <w:t xml:space="preserve"> </w:t>
      </w:r>
      <w:r>
        <w:t xml:space="preserve">evidence that</w:t>
      </w:r>
      <w:r>
        <w:t xml:space="preserve"> </w:t>
      </w:r>
      <w:r>
        <w:t xml:space="preserve">“continuous, remediated”</w:t>
      </w:r>
      <w:r>
        <w:t xml:space="preserve"> </w:t>
      </w:r>
      <w:r>
        <w:t xml:space="preserve">is already a live federal expectation</w:t>
      </w:r>
      <w:r>
        <w:t xml:space="preserve"> </w:t>
      </w:r>
      <w:r>
        <w:t xml:space="preserve">in at least one domain, not a novel or aspirational standard this paper is</w:t>
      </w:r>
      <w:r>
        <w:t xml:space="preserve"> </w:t>
      </w:r>
      <w:r>
        <w:t xml:space="preserve">inventing. §9 extends the</w:t>
      </w:r>
      <w:r>
        <w:t xml:space="preserve"> </w:t>
      </w:r>
      <w:r>
        <w:rPr>
          <w:i/>
          <w:iCs/>
        </w:rPr>
        <w:t xml:space="preserve">principle</w:t>
      </w:r>
      <w:r>
        <w:t xml:space="preserve">, not the</w:t>
      </w:r>
      <w:r>
        <w:t xml:space="preserve"> </w:t>
      </w:r>
      <w:r>
        <w:rPr>
          <w:i/>
          <w:iCs/>
        </w:rPr>
        <w:t xml:space="preserve">directive’s legal scope</w:t>
      </w:r>
      <w:r>
        <w:t xml:space="preserve">, to</w:t>
      </w:r>
      <w:r>
        <w:t xml:space="preserve"> </w:t>
      </w:r>
      <w:r>
        <w:t xml:space="preserve">the rest of the whole-agency estate.</w:t>
      </w:r>
    </w:p>
    <w:p>
      <w:pPr>
        <w:pStyle w:val="BodyText"/>
      </w:pPr>
      <w:r>
        <w:t xml:space="preserve">Evidence that actually supports Advanced/Optimal maturity has three</w:t>
      </w:r>
      <w:r>
        <w:t xml:space="preserve"> </w:t>
      </w:r>
      <w:r>
        <w:t xml:space="preserve">properties, none of which a single pillar tool produces on its own: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Continuous</w:t>
      </w:r>
      <w:r>
        <w:t xml:space="preserve"> </w:t>
      </w:r>
      <w:r>
        <w:t xml:space="preserve">— captured as state changes occur, not on a periodic or</w:t>
      </w:r>
      <w:r>
        <w:t xml:space="preserve"> </w:t>
      </w:r>
      <w:r>
        <w:t xml:space="preserve">audit-triggered cycle.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Cross-pillar</w:t>
      </w:r>
      <w:r>
        <w:t xml:space="preserve"> </w:t>
      </w:r>
      <w:r>
        <w:t xml:space="preserve">— a single evidence record spans identity, device, and</w:t>
      </w:r>
      <w:r>
        <w:t xml:space="preserve"> </w:t>
      </w:r>
      <w:r>
        <w:t xml:space="preserve">workload context rather than requiring an analyst to stitch together five</w:t>
      </w:r>
      <w:r>
        <w:t xml:space="preserve"> </w:t>
      </w:r>
      <w:r>
        <w:t xml:space="preserve">tools’ outputs by hand.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Reproducible</w:t>
      </w:r>
      <w:r>
        <w:t xml:space="preserve"> </w:t>
      </w:r>
      <w:r>
        <w:t xml:space="preserve">— re-executable by an independent assessor without</w:t>
      </w:r>
      <w:r>
        <w:t xml:space="preserve"> </w:t>
      </w:r>
      <w:r>
        <w:t xml:space="preserve">coordinating with the system operator, so the evidence on file matches</w:t>
      </w:r>
      <w:r>
        <w:t xml:space="preserve"> </w:t>
      </w:r>
      <w:r>
        <w:t xml:space="preserve">what a re-run produces.</w:t>
      </w:r>
    </w:p>
    <w:p>
      <w:pPr>
        <w:pStyle w:val="FirstParagraph"/>
      </w:pPr>
      <w:r>
        <w:t xml:space="preserve">Governance is what makes these properties structural rather than</w:t>
      </w:r>
      <w:r>
        <w:t xml:space="preserve"> </w:t>
      </w:r>
      <w:r>
        <w:t xml:space="preserve">aspirational: it is the layer that defines a common evidence schema every</w:t>
      </w:r>
      <w:r>
        <w:t xml:space="preserve"> </w:t>
      </w:r>
      <w:r>
        <w:t xml:space="preserve">pillar tool’s output is normalized into, assigns an owner for cross-pillar</w:t>
      </w:r>
      <w:r>
        <w:t xml:space="preserve"> </w:t>
      </w:r>
      <w:r>
        <w:t xml:space="preserve">correlation, and treats an open finding as either being actively remediated</w:t>
      </w:r>
      <w:r>
        <w:t xml:space="preserve"> </w:t>
      </w:r>
      <w:r>
        <w:t xml:space="preserve">or as a documented, dated, owned exception — never a silent gap. Absent that</w:t>
      </w:r>
      <w:r>
        <w:t xml:space="preserve"> </w:t>
      </w:r>
      <w:r>
        <w:t xml:space="preserve">governance layer,</w:t>
      </w:r>
      <w:r>
        <w:t xml:space="preserve"> </w:t>
      </w:r>
      <w:r>
        <w:t xml:space="preserve">“continuous monitoring”</w:t>
      </w:r>
      <w:r>
        <w:t xml:space="preserve"> </w:t>
      </w:r>
      <w:r>
        <w:t xml:space="preserve">collapses into</w:t>
      </w:r>
      <w:r>
        <w:t xml:space="preserve"> </w:t>
      </w:r>
      <w:r>
        <w:t xml:space="preserve">“we ran the scan</w:t>
      </w:r>
      <w:r>
        <w:t xml:space="preserve"> </w:t>
      </w:r>
      <w:r>
        <w:t xml:space="preserve">again,”</w:t>
      </w:r>
      <w:r>
        <w:t xml:space="preserve"> </w:t>
      </w:r>
      <w:r>
        <w:t xml:space="preserve">which is Pattern 3 (§1) with a recurring calendar invite attached.</w:t>
      </w:r>
    </w:p>
    <w:bookmarkEnd w:id="25"/>
    <w:bookmarkStart w:id="26" w:name="Xcb8e8f0d23e770f8686c2c85578b2bd2f08fb4f"/>
    <w:p>
      <w:pPr>
        <w:pStyle w:val="Heading3"/>
      </w:pPr>
      <w:r>
        <w:t xml:space="preserve">7. Principle four — governance sets policy; enforcement is what makes it stick</w:t>
      </w:r>
    </w:p>
    <w:p>
      <w:pPr>
        <w:pStyle w:val="FirstParagraph"/>
      </w:pPr>
      <w:r>
        <w:t xml:space="preserve">Every principle so far describes what governance should require. None of it</w:t>
      </w:r>
      <w:r>
        <w:t xml:space="preserve"> </w:t>
      </w:r>
      <w:r>
        <w:t xml:space="preserve">works if</w:t>
      </w:r>
      <w:r>
        <w:t xml:space="preserve"> </w:t>
      </w:r>
      <w:r>
        <w:t xml:space="preserve">“governance”</w:t>
      </w:r>
      <w:r>
        <w:t xml:space="preserve"> </w:t>
      </w:r>
      <w:r>
        <w:t xml:space="preserve">means only visibility and documentation. A program</w:t>
      </w:r>
      <w:r>
        <w:t xml:space="preserve"> </w:t>
      </w:r>
      <w:r>
        <w:t xml:space="preserve">that names an owner (§1, Pattern 1), detects drift (§1, Pattern 3), and files</w:t>
      </w:r>
      <w:r>
        <w:t xml:space="preserve"> </w:t>
      </w:r>
      <w:r>
        <w:t xml:space="preserve">an exception record has built a</w:t>
      </w:r>
      <w:r>
        <w:t xml:space="preserve"> </w:t>
      </w:r>
      <w:r>
        <w:rPr>
          <w:b/>
          <w:bCs/>
        </w:rPr>
        <w:t xml:space="preserve">detective</w:t>
      </w:r>
      <w:r>
        <w:t xml:space="preserve"> </w:t>
      </w:r>
      <w:r>
        <w:t xml:space="preserve">control — it can tell you,</w:t>
      </w:r>
      <w:r>
        <w:t xml:space="preserve"> </w:t>
      </w:r>
      <w:r>
        <w:t xml:space="preserve">after the fact, that something went wrong. It has not built a</w:t>
      </w:r>
      <w:r>
        <w:t xml:space="preserve"> </w:t>
      </w:r>
      <w:r>
        <w:rPr>
          <w:b/>
          <w:bCs/>
        </w:rPr>
        <w:t xml:space="preserve">preventive</w:t>
      </w:r>
      <w:r>
        <w:t xml:space="preserve"> </w:t>
      </w:r>
      <w:r>
        <w:t xml:space="preserve">one, which stops the wrong thing from happening, or automatically contains</w:t>
      </w:r>
      <w:r>
        <w:t xml:space="preserve"> </w:t>
      </w:r>
      <w:r>
        <w:t xml:space="preserve">it, in the moment.</w:t>
      </w:r>
    </w:p>
    <w:p>
      <w:pPr>
        <w:pStyle w:val="BodyText"/>
      </w:pPr>
      <w:r>
        <w:t xml:space="preserve">This distinction matters because the failure mode this paper spends its</w:t>
      </w:r>
      <w:r>
        <w:t xml:space="preserve"> </w:t>
      </w:r>
      <w:r>
        <w:t xml:space="preserve">first several sections describing — an agency that runs an assessment,</w:t>
      </w:r>
      <w:r>
        <w:t xml:space="preserve"> </w:t>
      </w:r>
      <w:r>
        <w:t xml:space="preserve">collects a finding, and never closes it — is exactly what a governance</w:t>
      </w:r>
      <w:r>
        <w:t xml:space="preserve"> </w:t>
      </w:r>
      <w:r>
        <w:t xml:space="preserve">program without enforcement teeth reproduces one layer up.</w:t>
      </w:r>
      <w:r>
        <w:t xml:space="preserve"> </w:t>
      </w:r>
      <w:r>
        <w:t xml:space="preserve">“We have a</w:t>
      </w:r>
      <w:r>
        <w:t xml:space="preserve"> </w:t>
      </w:r>
      <w:r>
        <w:t xml:space="preserve">documented exception process”</w:t>
      </w:r>
      <w:r>
        <w:t xml:space="preserve"> </w:t>
      </w:r>
      <w:r>
        <w:t xml:space="preserve">is not meaningfully different from</w:t>
      </w:r>
      <w:r>
        <w:t xml:space="preserve"> </w:t>
      </w:r>
      <w:r>
        <w:t xml:space="preserve">“we ran the</w:t>
      </w:r>
      <w:r>
        <w:t xml:space="preserve"> </w:t>
      </w:r>
      <w:r>
        <w:t xml:space="preserve">scan again”</w:t>
      </w:r>
      <w:r>
        <w:t xml:space="preserve"> </w:t>
      </w:r>
      <w:r>
        <w:t xml:space="preserve">(§1, Pattern 3) if the exception process has no expiry, no</w:t>
      </w:r>
      <w:r>
        <w:t xml:space="preserve"> </w:t>
      </w:r>
      <w:r>
        <w:t xml:space="preserve">automated re-check, and no mechanism that blocks the underlying condition</w:t>
      </w:r>
      <w:r>
        <w:t xml:space="preserve"> </w:t>
      </w:r>
      <w:r>
        <w:t xml:space="preserve">from recurring.</w:t>
      </w:r>
    </w:p>
    <w:p>
      <w:pPr>
        <w:pStyle w:val="BodyText"/>
      </w:pPr>
      <w:r>
        <w:t xml:space="preserve">Concrete enforcement mechanisms a governance program has to include, not</w:t>
      </w:r>
      <w:r>
        <w:t xml:space="preserve"> </w:t>
      </w:r>
      <w:r>
        <w:t xml:space="preserve">merely the policies they enforce: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Preventive, not just detective, policy gates</w:t>
      </w:r>
      <w:r>
        <w:t xml:space="preserve"> </w:t>
      </w:r>
      <w:r>
        <w:t xml:space="preserve">— a cloud guardrail (a</w:t>
      </w:r>
      <w:r>
        <w:t xml:space="preserve"> </w:t>
      </w:r>
      <w:r>
        <w:t xml:space="preserve">deny-effect policy, a service-control-policy boundary) that blocks a</w:t>
      </w:r>
      <w:r>
        <w:t xml:space="preserve"> </w:t>
      </w:r>
      <w:r>
        <w:t xml:space="preserve">non-compliant resource from being created, not a scan that reports it</w:t>
      </w:r>
      <w:r>
        <w:t xml:space="preserve"> </w:t>
      </w:r>
      <w:r>
        <w:t xml:space="preserve">after the fact.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conditional blocking at the identity plane</w:t>
      </w:r>
      <w:r>
        <w:t xml:space="preserve"> </w:t>
      </w:r>
      <w:r>
        <w:t xml:space="preserve">— a policy that</w:t>
      </w:r>
      <w:r>
        <w:t xml:space="preserve"> </w:t>
      </w:r>
      <w:r>
        <w:t xml:space="preserve">denies a sign-in outside declared risk parameters in real time, not a</w:t>
      </w:r>
      <w:r>
        <w:t xml:space="preserve"> </w:t>
      </w:r>
      <w:r>
        <w:t xml:space="preserve">report that the sign-in occurred.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Hypervisor and infrastructure lockdown as a default posture</w:t>
      </w:r>
      <w:r>
        <w:t xml:space="preserve">, not an</w:t>
      </w:r>
      <w:r>
        <w:t xml:space="preserve"> </w:t>
      </w:r>
      <w:r>
        <w:t xml:space="preserve">optional hardening step — ESXi lockdown mode, restricted direct-console</w:t>
      </w:r>
      <w:r>
        <w:t xml:space="preserve"> </w:t>
      </w:r>
      <w:r>
        <w:t xml:space="preserve">access, and verified (not name-trusted) AD-group provenance (§5) are</w:t>
      </w:r>
      <w:r>
        <w:t xml:space="preserve"> </w:t>
      </w:r>
      <w:r>
        <w:t xml:space="preserve">enforcement, where a hardening checklist alone is documentation.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Time-bound exceptions that expire and re-trigger review automatically</w:t>
      </w:r>
      <w:r>
        <w:t xml:space="preserve"> </w:t>
      </w:r>
      <w:r>
        <w:t xml:space="preserve">— an exception without an expiry is a permanent, silent policy override</w:t>
      </w:r>
      <w:r>
        <w:t xml:space="preserve"> </w:t>
      </w:r>
      <w:r>
        <w:t xml:space="preserve">wearing a governance label.</w:t>
      </w:r>
    </w:p>
    <w:p>
      <w:pPr>
        <w:pStyle w:val="FirstParagraph"/>
      </w:pPr>
      <w:r>
        <w:t xml:space="preserve">Governance that only observes is a more sophisticated version of the</w:t>
      </w:r>
      <w:r>
        <w:t xml:space="preserve"> </w:t>
      </w:r>
      <w:r>
        <w:t xml:space="preserve">assessment-without-remediation problem this whole paper argues against.</w:t>
      </w:r>
      <w:r>
        <w:t xml:space="preserve"> </w:t>
      </w:r>
      <w:r>
        <w:t xml:space="preserve">Governance that enforces is the difference between a maturity claim and an</w:t>
      </w:r>
      <w:r>
        <w:t xml:space="preserve"> </w:t>
      </w:r>
      <w:r>
        <w:t xml:space="preserve">actual control.</w:t>
      </w:r>
    </w:p>
    <w:bookmarkEnd w:id="26"/>
    <w:bookmarkStart w:id="29" w:name="Xda908c59f3376aad583bc71ca8cefa7c112b4c5"/>
    <w:p>
      <w:pPr>
        <w:pStyle w:val="Heading3"/>
      </w:pPr>
      <w:r>
        <w:t xml:space="preserve">8. Principle five — the federal cloud boundary has to be modeled explicitly, not assumed away</w:t>
      </w:r>
    </w:p>
    <w:p>
      <w:pPr>
        <w:pStyle w:val="FirstParagraph"/>
      </w:pPr>
      <w:r>
        <w:t xml:space="preserve">Agencies operating in Microsoft’s Government Community Cloud (GCC) — the</w:t>
      </w:r>
      <w:r>
        <w:t xml:space="preserve"> </w:t>
      </w:r>
      <w:r>
        <w:t xml:space="preserve">common FedRAMP Moderate-authorized federal case — inherit a structural</w:t>
      </w:r>
      <w:r>
        <w:t xml:space="preserve"> </w:t>
      </w:r>
      <w:r>
        <w:t xml:space="preserve">constraint that commercial Zero Trust guidance does not account for:</w:t>
      </w:r>
      <w:r>
        <w:t xml:space="preserve"> </w:t>
      </w:r>
      <w:r>
        <w:rPr>
          <w:b/>
          <w:bCs/>
        </w:rPr>
        <w:t xml:space="preserve">feature availability narrows</w:t>
      </w:r>
      <w:r>
        <w:t xml:space="preserve"> </w:t>
      </w:r>
      <w:r>
        <w:t xml:space="preserve">relative to the commercial tier. Microsoft’s</w:t>
      </w:r>
      <w:r>
        <w:t xml:space="preserve"> </w:t>
      </w:r>
      <w:r>
        <w:t xml:space="preserve">own service-description documentation for</w:t>
      </w:r>
      <w:r>
        <w:t xml:space="preserve"> </w:t>
      </w:r>
      <w:hyperlink r:id="rId27">
        <w:r>
          <w:rPr>
            <w:rStyle w:val="Hyperlink"/>
          </w:rPr>
          <w:t xml:space="preserve">GCC</w:t>
        </w:r>
      </w:hyperlink>
      <w:r>
        <w:t xml:space="preserve"> </w:t>
      </w:r>
      <w:r>
        <w:t xml:space="preserve">documents this directly: new features ship to commercial tenants first and</w:t>
      </w:r>
      <w:r>
        <w:t xml:space="preserve"> </w:t>
      </w:r>
      <w:r>
        <w:t xml:space="preserve">reach GCC on a lag that sometimes runs months to years — and some</w:t>
      </w:r>
      <w:r>
        <w:t xml:space="preserve"> </w:t>
      </w:r>
      <w:r>
        <w:t xml:space="preserve">commercial-tier telemetry and analytics features never reach GCC at all.</w:t>
      </w:r>
      <w:r>
        <w:t xml:space="preserve"> </w:t>
      </w:r>
      <w:r>
        <w:t xml:space="preserve">(Higher government-community tiers exist above GCC for higher-impact</w:t>
      </w:r>
      <w:r>
        <w:t xml:space="preserve"> </w:t>
      </w:r>
      <w:r>
        <w:t xml:space="preserve">workloads; this paper is scoped to the FedRAMP Moderate / GCC case and does</w:t>
      </w:r>
      <w:r>
        <w:t xml:space="preserve"> </w:t>
      </w:r>
      <w:r>
        <w:t xml:space="preserve">not address them.) Independently,</w:t>
      </w:r>
      <w:r>
        <w:t xml:space="preserve"> </w:t>
      </w:r>
      <w:hyperlink r:id="rId28">
        <w:r>
          <w:rPr>
            <w:rStyle w:val="Hyperlink"/>
          </w:rPr>
          <w:t xml:space="preserve">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3.0</w:t>
        </w:r>
      </w:hyperlink>
      <w:r>
        <w:t xml:space="preserve"> </w:t>
      </w:r>
      <w:r>
        <w:t xml:space="preserve">(per OMB M-19-26) imposes its own boundary-monitoring requirements on top of</w:t>
      </w:r>
      <w:r>
        <w:t xml:space="preserve"> </w:t>
      </w:r>
      <w:r>
        <w:t xml:space="preserve">whatever the cloud tier natively provides.</w:t>
      </w:r>
    </w:p>
    <w:p>
      <w:pPr>
        <w:pStyle w:val="BodyText"/>
      </w:pPr>
      <w:r>
        <w:t xml:space="preserve">The governance principle:</w:t>
      </w:r>
      <w:r>
        <w:t xml:space="preserve"> </w:t>
      </w:r>
      <w:r>
        <w:rPr>
          <w:b/>
          <w:bCs/>
        </w:rPr>
        <w:t xml:space="preserve">an agency’s Zero Trust maturity ceiling in a</w:t>
      </w:r>
      <w:r>
        <w:rPr>
          <w:b/>
          <w:bCs/>
        </w:rPr>
        <w:t xml:space="preserve"> </w:t>
      </w:r>
      <w:r>
        <w:rPr>
          <w:b/>
          <w:bCs/>
        </w:rPr>
        <w:t xml:space="preserve">given tier is a function of what that tier’s telemetry actually exposes, and</w:t>
      </w:r>
      <w:r>
        <w:rPr>
          <w:b/>
          <w:bCs/>
        </w:rPr>
        <w:t xml:space="preserve"> </w:t>
      </w:r>
      <w:r>
        <w:rPr>
          <w:b/>
          <w:bCs/>
        </w:rPr>
        <w:t xml:space="preserve">that has to be assessed and documented, not assumed to match commercial</w:t>
      </w:r>
      <w:r>
        <w:rPr>
          <w:b/>
          <w:bCs/>
        </w:rPr>
        <w:t xml:space="preserve"> </w:t>
      </w:r>
      <w:r>
        <w:rPr>
          <w:b/>
          <w:bCs/>
        </w:rPr>
        <w:t xml:space="preserve">guidance.</w:t>
      </w:r>
      <w:r>
        <w:t xml:space="preserve"> </w:t>
      </w:r>
      <w:r>
        <w:t xml:space="preserve">Concretely, governance owes the program three things the cloud</w:t>
      </w:r>
      <w:r>
        <w:t xml:space="preserve"> </w:t>
      </w:r>
      <w:r>
        <w:t xml:space="preserve">tier alone does not provide: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capability-disposition inventory</w:t>
      </w:r>
      <w:r>
        <w:t xml:space="preserve"> </w:t>
      </w:r>
      <w:r>
        <w:t xml:space="preserve">— which pillar signals actually</w:t>
      </w:r>
      <w:r>
        <w:t xml:space="preserve"> </w:t>
      </w:r>
      <w:r>
        <w:t xml:space="preserve">function in the agency’s tier, verified directly, not inferred from</w:t>
      </w:r>
      <w:r>
        <w:t xml:space="preserve"> </w:t>
      </w:r>
      <w:r>
        <w:t xml:space="preserve">commercial documentation.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Explicit compensating controls</w:t>
      </w:r>
      <w:r>
        <w:t xml:space="preserve"> </w:t>
      </w:r>
      <w:r>
        <w:t xml:space="preserve">where a tier’s native telemetry is</w:t>
      </w:r>
      <w:r>
        <w:t xml:space="preserve"> </w:t>
      </w:r>
      <w:r>
        <w:t xml:space="preserve">absent — an agency-side mechanism that closes the gap, with the gap and</w:t>
      </w:r>
      <w:r>
        <w:t xml:space="preserve"> </w:t>
      </w:r>
      <w:r>
        <w:t xml:space="preserve">its compensation both named in the authorization package rather than left</w:t>
      </w:r>
      <w:r>
        <w:t xml:space="preserve"> </w:t>
      </w:r>
      <w:r>
        <w:t xml:space="preserve">implicit.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boundary posture treated as a first-class governed artifact</w:t>
      </w:r>
      <w:r>
        <w:t xml:space="preserve"> </w:t>
      </w:r>
      <w:r>
        <w:t xml:space="preserve">in the</w:t>
      </w:r>
      <w:r>
        <w:t xml:space="preserve"> </w:t>
      </w:r>
      <w:r>
        <w:t xml:space="preserve">ATO documentation, not an assumption buried in a network diagram nobody</w:t>
      </w:r>
      <w:r>
        <w:t xml:space="preserve"> </w:t>
      </w:r>
      <w:r>
        <w:t xml:space="preserve">re-validates.</w:t>
      </w:r>
    </w:p>
    <w:p>
      <w:pPr>
        <w:pStyle w:val="FirstParagraph"/>
      </w:pPr>
      <w:r>
        <w:t xml:space="preserve">Federal programs that skip this step routinely discover, at 3PAO review,</w:t>
      </w:r>
      <w:r>
        <w:t xml:space="preserve"> </w:t>
      </w:r>
      <w:r>
        <w:t xml:space="preserve">that their Zero Trust maturity claim for a pillar assumes telemetry their</w:t>
      </w:r>
      <w:r>
        <w:t xml:space="preserve"> </w:t>
      </w:r>
      <w:r>
        <w:t xml:space="preserve">tier does not actually deliver — a finding that is entirely avoidable with an</w:t>
      </w:r>
      <w:r>
        <w:t xml:space="preserve"> </w:t>
      </w:r>
      <w:r>
        <w:t xml:space="preserve">explicit capability inventory done up front.</w:t>
      </w:r>
    </w:p>
    <w:bookmarkEnd w:id="29"/>
    <w:bookmarkStart w:id="31" w:name="X1e08c919c2578d0d333693ea5a6352ed0ee0656"/>
    <w:p>
      <w:pPr>
        <w:pStyle w:val="Heading3"/>
      </w:pPr>
      <w:r>
        <w:t xml:space="preserve">9. Whole-agency scope: Network, CSPs, and VMware are one system, not three</w:t>
      </w:r>
    </w:p>
    <w:p>
      <w:pPr>
        <w:pStyle w:val="FirstParagraph"/>
      </w:pPr>
      <w:r>
        <w:t xml:space="preserve">Network, every CSP an agency operates, and any on-premises virtualization</w:t>
      </w:r>
      <w:r>
        <w:t xml:space="preserve"> </w:t>
      </w:r>
      <w:r>
        <w:t xml:space="preserve">estate have to resolve against the same naming and identity plane before a</w:t>
      </w:r>
      <w:r>
        <w:t xml:space="preserve"> </w:t>
      </w:r>
      <w:r>
        <w:t xml:space="preserve">“whole-agency”</w:t>
      </w:r>
      <w:r>
        <w:t xml:space="preserve"> </w:t>
      </w:r>
      <w:r>
        <w:t xml:space="preserve">Zero Trust score means anything — three separate assessments</w:t>
      </w:r>
      <w:r>
        <w:t xml:space="preserve"> </w:t>
      </w:r>
      <w:r>
        <w:t xml:space="preserve">stapled together is not one assessment, it is three partial assessments</w:t>
      </w:r>
      <w:r>
        <w:t xml:space="preserve"> </w:t>
      </w:r>
      <w:r>
        <w:t xml:space="preserve">wearing one cover page. The hypervisor case is a distinct threat class, not</w:t>
      </w:r>
      <w:r>
        <w:t xml:space="preserve"> </w:t>
      </w:r>
      <w:r>
        <w:t xml:space="preserve">just a naming problem: ESXiArgs (CVE-2021-21974) and the ESXi AD-integration</w:t>
      </w:r>
      <w:r>
        <w:t xml:space="preserve"> </w:t>
      </w:r>
      <w:r>
        <w:t xml:space="preserve">bypass (CVE-2024-37085) both compromise a layer beneath every guest</w:t>
      </w:r>
      <w:r>
        <w:t xml:space="preserve"> </w:t>
      </w:r>
      <w:r>
        <w:t xml:space="preserve">workload’s own telemetry, and vCenter’s own identity domain is frequently</w:t>
      </w:r>
      <w:r>
        <w:t xml:space="preserve"> </w:t>
      </w:r>
      <w:r>
        <w:t xml:space="preserve">unfederated from the agency’s broader identity plane. Once that unification</w:t>
      </w:r>
      <w:r>
        <w:t xml:space="preserve"> </w:t>
      </w:r>
      <w:r>
        <w:t xml:space="preserve">exists, it becomes the highest-value target in the estate in its own right</w:t>
      </w:r>
      <w:r>
        <w:t xml:space="preserve"> </w:t>
      </w:r>
      <w:r>
        <w:t xml:space="preserve">and needs the same privileged-access hardening as any other crown-jewel</w:t>
      </w:r>
      <w:r>
        <w:t xml:space="preserve"> </w:t>
      </w:r>
      <w:r>
        <w:t xml:space="preserve">system. The full argument — including the three architectural facts a</w:t>
      </w:r>
      <w:r>
        <w:t xml:space="preserve"> </w:t>
      </w:r>
      <w:r>
        <w:t xml:space="preserve">whole-agency program has to reconcile and the case for treating the</w:t>
      </w:r>
      <w:r>
        <w:t xml:space="preserve"> </w:t>
      </w:r>
      <w:r>
        <w:t xml:space="preserve">unification layer as a Tier-0 asset — is covered in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Zero Trust Requires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Whole-Agency Scope</w:t>
        </w:r>
      </w:hyperlink>
      <w:r>
        <w:t xml:space="preserve">.</w:t>
      </w:r>
    </w:p>
    <w:bookmarkEnd w:id="31"/>
    <w:bookmarkStart w:id="32" w:name="X88657329c1fe3b478d62d1c9d561797148a275e"/>
    <w:p>
      <w:pPr>
        <w:pStyle w:val="Heading3"/>
      </w:pPr>
      <w:r>
        <w:t xml:space="preserve">10. A worked example: why even Microsoft’s own tools don’t add up to</w:t>
      </w:r>
      <w:r>
        <w:t xml:space="preserve"> </w:t>
      </w:r>
      <w:r>
        <w:t xml:space="preserve">“whole agency”</w:t>
      </w:r>
    </w:p>
    <w:p>
      <w:pPr>
        <w:pStyle w:val="FirstParagraph"/>
      </w:pPr>
      <w:r>
        <w:t xml:space="preserve">Even inside a single vendor’s ecosystem, two complementary, free Microsoft</w:t>
      </w:r>
      <w:r>
        <w:t xml:space="preserve"> </w:t>
      </w:r>
      <w:r>
        <w:t xml:space="preserve">assessment tools — CISA’s SCuBA/ScubaGear (a BOD 25-01-mandated M365</w:t>
      </w:r>
      <w:r>
        <w:t xml:space="preserve"> </w:t>
      </w:r>
      <w:r>
        <w:t xml:space="preserve">compliance check) and Microsoft’s own Zero Trust Assessment (a broader</w:t>
      </w:r>
      <w:r>
        <w:t xml:space="preserve"> </w:t>
      </w:r>
      <w:r>
        <w:t xml:space="preserve">maturity check across Entra, Intune, Azure, and Purview) — overlap almost</w:t>
      </w:r>
      <w:r>
        <w:t xml:space="preserve"> </w:t>
      </w:r>
      <w:r>
        <w:t xml:space="preserve">entirely on identity and barely touch the same ground anywhere else, and</w:t>
      </w:r>
      <w:r>
        <w:t xml:space="preserve"> </w:t>
      </w:r>
      <w:r>
        <w:t xml:space="preserve">running both together still does not add up to a whole-agency answer.</w:t>
      </w:r>
      <w:r>
        <w:t xml:space="preserve"> </w:t>
      </w:r>
      <w:r>
        <w:t xml:space="preserve">That’s because both tools are scoped to one vendor’s platform:</w:t>
      </w:r>
      <w:r>
        <w:t xml:space="preserve"> </w:t>
      </w:r>
      <w:r>
        <w:t xml:space="preserve">agency-level Zero Trust ownership cannot be delegated to any single CSP’s</w:t>
      </w:r>
      <w:r>
        <w:t xml:space="preserve"> </w:t>
      </w:r>
      <w:r>
        <w:t xml:space="preserve">assessment tool, however good. The full worked example, including practical</w:t>
      </w:r>
      <w:r>
        <w:t xml:space="preserve"> </w:t>
      </w:r>
      <w:r>
        <w:t xml:space="preserve">guidance for running SCuBA and the Zero Trust Assessment together, is</w:t>
      </w:r>
      <w:r>
        <w:t xml:space="preserve"> </w:t>
      </w:r>
      <w:r>
        <w:t xml:space="preserve">covered in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Zero Trust Requires Whole-Agency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Scope</w:t>
        </w:r>
      </w:hyperlink>
      <w:r>
        <w:t xml:space="preserve">.</w:t>
      </w:r>
    </w:p>
    <w:bookmarkEnd w:id="32"/>
    <w:bookmarkStart w:id="33" w:name="X8f6401ed3cc2d5f4f9733f76242c4b98316d566"/>
    <w:p>
      <w:pPr>
        <w:pStyle w:val="Heading3"/>
      </w:pPr>
      <w:r>
        <w:t xml:space="preserve">11. What maturity actually requires, pillar by pillar</w:t>
      </w:r>
    </w:p>
    <w:p>
      <w:pPr>
        <w:pStyle w:val="FirstParagraph"/>
      </w:pPr>
      <w:r>
        <w:rPr>
          <w:b/>
          <w:bCs/>
        </w:rPr>
        <w:t xml:space="preserve">A note on sourcing, up front:</w:t>
      </w:r>
      <w:r>
        <w:t xml:space="preserve"> </w:t>
      </w:r>
      <w:r>
        <w:t xml:space="preserve">the table below is this paper’s synthesis</w:t>
      </w:r>
      <w:r>
        <w:t xml:space="preserve"> </w:t>
      </w:r>
      <w:r>
        <w:t xml:space="preserve">of CISA’s Advanced/Optimal criteria, phrased for readability.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verbatim quotation of the ZTMM v2.0 document and should not be cited as</w:t>
      </w:r>
      <w:r>
        <w:t xml:space="preserve"> </w:t>
      </w:r>
      <w:r>
        <w:t xml:space="preserve">CISA’s exact language in a control crosswalk — consult the source document</w:t>
      </w:r>
      <w:r>
        <w:t xml:space="preserve"> </w:t>
      </w:r>
      <w:r>
        <w:t xml:space="preserve">directly for authoritative wording.</w:t>
      </w:r>
    </w:p>
    <w:p>
      <w:pPr>
        <w:pStyle w:val="BodyText"/>
      </w:pPr>
      <w:r>
        <w:t xml:space="preserve">CISA’s own Advanced/Optimal criteria, read pillar by pillar, are consistently</w:t>
      </w:r>
      <w:r>
        <w:t xml:space="preserve"> </w:t>
      </w:r>
      <w:r>
        <w:t xml:space="preserve">about continuous, automated, identity-anchored behavior rather than a bigger</w:t>
      </w:r>
      <w:r>
        <w:t xml:space="preserve"> </w:t>
      </w:r>
      <w:r>
        <w:t xml:space="preserve">tool: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t xml:space="preserve">“Advanced/Optimal”</w:t>
            </w:r>
            <w:r>
              <w:t xml:space="preserve"> </w:t>
            </w:r>
            <w:r>
              <w:t xml:space="preserve">requires (per CISA ZTMM v2.0, paraphrased)</w:t>
            </w:r>
          </w:p>
        </w:tc>
        <w:tc>
          <w:tcPr/>
          <w:p>
            <w:pPr>
              <w:pStyle w:val="Compact"/>
            </w:pPr>
            <w:r>
              <w:t xml:space="preserve">The governance 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Continuous validation, phishing-resistant authentication, dynamic risk-based access decisions</w:t>
            </w:r>
          </w:p>
        </w:tc>
        <w:tc>
          <w:tcPr/>
          <w:p>
            <w:pPr>
              <w:pStyle w:val="Compact"/>
            </w:pPr>
            <w:r>
              <w:t xml:space="preserve">Requires identity to be the addressing root (§4) other pillars resolve against — and its own root-of-trust hardened per §4–§5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Continuous, real-time device compliance and vulnerability visibility with automated response</w:t>
            </w:r>
          </w:p>
        </w:tc>
        <w:tc>
          <w:tcPr/>
          <w:p>
            <w:pPr>
              <w:pStyle w:val="Compact"/>
            </w:pPr>
            <w:r>
              <w:t xml:space="preserve">Requires cross-pillar correlation (§3, via Automation and Orchestration) between device posture and identity/workload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Distributed micro-segmentation, encrypted traffic, dynamic policy enforcement</w:t>
            </w:r>
          </w:p>
        </w:tc>
        <w:tc>
          <w:tcPr/>
          <w:p>
            <w:pPr>
              <w:pStyle w:val="Compact"/>
            </w:pPr>
            <w:r>
              <w:t xml:space="preserve">Requires network policy to be</w:t>
            </w:r>
            <w:r>
              <w:t xml:space="preserve"> </w:t>
            </w:r>
            <w:r>
              <w:rPr>
                <w:i/>
                <w:iCs/>
              </w:rPr>
              <w:t xml:space="preserve">derived from</w:t>
            </w:r>
            <w:r>
              <w:t xml:space="preserve"> </w:t>
            </w:r>
            <w:r>
              <w:t xml:space="preserve">identity/workload context, not independently administered (§4), and enforced preventively, not just observed (§7)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&amp; Workloads</w:t>
            </w:r>
          </w:p>
        </w:tc>
        <w:tc>
          <w:tcPr/>
          <w:p>
            <w:pPr>
              <w:pStyle w:val="Compact"/>
            </w:pPr>
            <w:r>
              <w:t xml:space="preserve">Continuous authorization, immutable workloads, application-level micro-segmentation</w:t>
            </w:r>
          </w:p>
        </w:tc>
        <w:tc>
          <w:tcPr/>
          <w:p>
            <w:pPr>
              <w:pStyle w:val="Compact"/>
            </w:pPr>
            <w:r>
              <w:t xml:space="preserve">Requires workload identity to resolve against the same identity plane as users and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Continuous data inventory, automated categorization, and dynamic access control tied to data sensitivity</w:t>
            </w:r>
          </w:p>
        </w:tc>
        <w:tc>
          <w:tcPr/>
          <w:p>
            <w:pPr>
              <w:pStyle w:val="Compact"/>
            </w:pPr>
            <w:r>
              <w:t xml:space="preserve">Requires the evidence properties in §6 — cross-pillar, continuous, reproducible — to actually classify and track data at the pace access decisions require</w:t>
            </w:r>
          </w:p>
        </w:tc>
      </w:tr>
    </w:tbl>
    <w:p>
      <w:pPr>
        <w:pStyle w:val="BodyText"/>
      </w:pPr>
      <w:r>
        <w:t xml:space="preserve">Every row’s Advanced/Optimal criterion depends on a cross-cutting capability,</w:t>
      </w:r>
      <w:r>
        <w:t xml:space="preserve"> </w:t>
      </w:r>
      <w:r>
        <w:t xml:space="preserve">not a bigger pillar-specific tool. This is the structural reason</w:t>
      </w:r>
      <w:r>
        <w:t xml:space="preserve"> </w:t>
      </w:r>
      <w:r>
        <w:t xml:space="preserve">“buy a</w:t>
      </w:r>
      <w:r>
        <w:t xml:space="preserve"> </w:t>
      </w:r>
      <w:r>
        <w:t xml:space="preserve">better tool for the pillar we’re weakest in”</w:t>
      </w:r>
      <w:r>
        <w:t xml:space="preserve"> </w:t>
      </w:r>
      <w:r>
        <w:t xml:space="preserve">does not move the maturity</w:t>
      </w:r>
      <w:r>
        <w:t xml:space="preserve"> </w:t>
      </w:r>
      <w:r>
        <w:t xml:space="preserve">needle the way agencies expect it to.</w:t>
      </w:r>
    </w:p>
    <w:bookmarkEnd w:id="33"/>
    <w:bookmarkStart w:id="34" w:name="X5d22e1dd708bc4381402d863ef32a5e5a071501"/>
    <w:p>
      <w:pPr>
        <w:pStyle w:val="Heading3"/>
      </w:pPr>
      <w:r>
        <w:t xml:space="preserve">12. Tools agencies already have: mapping remediation to what’s already licensed</w:t>
      </w:r>
    </w:p>
    <w:p>
      <w:pPr>
        <w:pStyle w:val="FirstParagraph"/>
      </w:pPr>
      <w:r>
        <w:t xml:space="preserve">§7 argued governance needs enforcement, not just visibility; §5 argued</w:t>
      </w:r>
      <w:r>
        <w:t xml:space="preserve"> </w:t>
      </w:r>
      <w:r>
        <w:t xml:space="preserve">privileged and administrative identity need controls of their own. Both are</w:t>
      </w:r>
      <w:r>
        <w:t xml:space="preserve"> </w:t>
      </w:r>
      <w:r>
        <w:t xml:space="preserve">routinely treated as if they required new procurement. For most federal</w:t>
      </w:r>
      <w:r>
        <w:t xml:space="preserve"> </w:t>
      </w:r>
      <w:r>
        <w:t xml:space="preserve">agencies they don’t — much of what those two principles call for is already</w:t>
      </w:r>
      <w:r>
        <w:t xml:space="preserve"> </w:t>
      </w:r>
      <w:r>
        <w:t xml:space="preserve">sitting, unconfigured, inside two platforms most agencies have already</w:t>
      </w:r>
      <w:r>
        <w:t xml:space="preserve"> </w:t>
      </w:r>
      <w:r>
        <w:t xml:space="preserve">licensed for other purposes, plus native tooling inside every major CSP’s</w:t>
      </w:r>
      <w:r>
        <w:t xml:space="preserve"> </w:t>
      </w:r>
      <w:r>
        <w:t xml:space="preserve">government-authorized tier. What follows is an inventory check, not a</w:t>
      </w:r>
      <w:r>
        <w:t xml:space="preserve"> </w:t>
      </w:r>
      <w:r>
        <w:t xml:space="preserve">product endorsement: before budgeting for a gap, confirm whether the</w:t>
      </w:r>
      <w:r>
        <w:t xml:space="preserve"> </w:t>
      </w:r>
      <w:r>
        <w:t xml:space="preserve">capability already exists in something already paid for.</w:t>
      </w:r>
    </w:p>
    <w:p>
      <w:pPr>
        <w:pStyle w:val="BodyText"/>
      </w:pPr>
      <w:r>
        <w:rPr>
          <w:b/>
          <w:bCs/>
        </w:rPr>
        <w:t xml:space="preserve">ServiceNow — the workflow/orchestration layer.</w:t>
      </w:r>
      <w:r>
        <w:t xml:space="preserve"> </w:t>
      </w:r>
      <w:r>
        <w:t xml:space="preserve">ServiceNow’s Government</w:t>
      </w:r>
      <w:r>
        <w:t xml:space="preserve"> </w:t>
      </w:r>
      <w:r>
        <w:t xml:space="preserve">Community Cloud is authorized at a level that meets FedRAMP Moderate</w:t>
      </w:r>
      <w:r>
        <w:t xml:space="preserve"> </w:t>
      </w:r>
      <w:r>
        <w:t xml:space="preserve">requirements. (Naming collision worth flagging: ServiceNow calls its own</w:t>
      </w:r>
      <w:r>
        <w:t xml:space="preserve"> </w:t>
      </w:r>
      <w:r>
        <w:t xml:space="preserve">environment</w:t>
      </w:r>
      <w:r>
        <w:t xml:space="preserve"> </w:t>
      </w:r>
      <w:r>
        <w:t xml:space="preserve">“GCC”</w:t>
      </w:r>
      <w:r>
        <w:t xml:space="preserve"> </w:t>
      </w:r>
      <w:r>
        <w:t xml:space="preserve">too, distinct from Microsoft’s GCC tier in §8 — confirm</w:t>
      </w:r>
      <w:r>
        <w:t xml:space="preserve"> </w:t>
      </w:r>
      <w:r>
        <w:t xml:space="preserve">which</w:t>
      </w:r>
      <w:r>
        <w:t xml:space="preserve"> </w:t>
      </w:r>
      <w:r>
        <w:t xml:space="preserve">“GCC”</w:t>
      </w:r>
      <w:r>
        <w:t xml:space="preserve"> </w:t>
      </w:r>
      <w:r>
        <w:t xml:space="preserve">a given document means.) Two specific mappings:</w:t>
      </w:r>
    </w:p>
    <w:p>
      <w:pPr>
        <w:pStyle w:val="Compact"/>
        <w:numPr>
          <w:ilvl w:val="0"/>
          <w:numId w:val="1007"/>
        </w:numPr>
      </w:pPr>
      <w:r>
        <w:t xml:space="preserve">§7’s</w:t>
      </w:r>
      <w:r>
        <w:t xml:space="preserve"> </w:t>
      </w:r>
      <w:r>
        <w:t xml:space="preserve">“time-bound exceptions that expire and re-trigger review</w:t>
      </w:r>
      <w:r>
        <w:t xml:space="preserve"> </w:t>
      </w:r>
      <w:r>
        <w:t xml:space="preserve">automatically”</w:t>
      </w:r>
      <w:r>
        <w:t xml:space="preserve"> </w:t>
      </w:r>
      <w:r>
        <w:t xml:space="preserve">is what a workflow/GRC platform’s ticketing and</w:t>
      </w:r>
      <w:r>
        <w:t xml:space="preserve"> </w:t>
      </w:r>
      <w:r>
        <w:t xml:space="preserve">exception-lifecycle modules exist to do — an exception with an assigned</w:t>
      </w:r>
      <w:r>
        <w:t xml:space="preserve"> </w:t>
      </w:r>
      <w:r>
        <w:t xml:space="preserve">owner, an expiry date, and an automated re-open trigger is exactly §7’s</w:t>
      </w:r>
      <w:r>
        <w:t xml:space="preserve"> </w:t>
      </w:r>
      <w:r>
        <w:t xml:space="preserve">governance-as-enforcement, provided those fields are actually populated</w:t>
      </w:r>
      <w:r>
        <w:t xml:space="preserve"> </w:t>
      </w:r>
      <w:r>
        <w:t xml:space="preserve">and the automation actually runs. The platform supplies the mechanism, not</w:t>
      </w:r>
      <w:r>
        <w:t xml:space="preserve"> </w:t>
      </w:r>
      <w:r>
        <w:t xml:space="preserve">the discipline.</w:t>
      </w:r>
    </w:p>
    <w:p>
      <w:pPr>
        <w:pStyle w:val="Compact"/>
        <w:numPr>
          <w:ilvl w:val="0"/>
          <w:numId w:val="1007"/>
        </w:numPr>
      </w:pPr>
      <w:r>
        <w:t xml:space="preserve">§6’s requirement for</w:t>
      </w:r>
      <w:r>
        <w:t xml:space="preserve"> </w:t>
      </w:r>
      <w:r>
        <w:t xml:space="preserve">“a common evidence schema every pillar tool’s output</w:t>
      </w:r>
      <w:r>
        <w:t xml:space="preserve"> </w:t>
      </w:r>
      <w:r>
        <w:t xml:space="preserve">is normalized into”</w:t>
      </w:r>
      <w:r>
        <w:t xml:space="preserve"> </w:t>
      </w:r>
      <w:r>
        <w:t xml:space="preserve">describes exactly the role a workflow platform can</w:t>
      </w:r>
      <w:r>
        <w:t xml:space="preserve"> </w:t>
      </w:r>
      <w:r>
        <w:t xml:space="preserve">play as the cross-pillar evidence and correlation-owner home Pattern 1</w:t>
      </w:r>
      <w:r>
        <w:t xml:space="preserve"> </w:t>
      </w:r>
      <w:r>
        <w:t xml:space="preserve">(§1) says is missing — again, only if it’s actually configured that way,</w:t>
      </w:r>
      <w:r>
        <w:t xml:space="preserve"> </w:t>
      </w:r>
      <w:r>
        <w:t xml:space="preserve">not simply licensed.</w:t>
      </w:r>
    </w:p>
    <w:p>
      <w:pPr>
        <w:pStyle w:val="FirstParagraph"/>
      </w:pPr>
      <w:r>
        <w:rPr>
          <w:b/>
          <w:bCs/>
        </w:rPr>
        <w:t xml:space="preserve">SailPoint — the identity-governance layer.</w:t>
      </w:r>
      <w:r>
        <w:t xml:space="preserve"> </w:t>
      </w:r>
      <w:r>
        <w:t xml:space="preserve">SailPoint Identity Security</w:t>
      </w:r>
      <w:r>
        <w:t xml:space="preserve"> </w:t>
      </w:r>
      <w:r>
        <w:t xml:space="preserve">Cloud holds a FedRAMP Moderate ATO (325 controls, hosted on AWS GovCloud),</w:t>
      </w:r>
      <w:r>
        <w:t xml:space="preserve"> </w:t>
      </w:r>
      <w:r>
        <w:t xml:space="preserve">with FedRAMP-authorized add-ons for Non-Employee Risk Management and Data</w:t>
      </w:r>
      <w:r>
        <w:t xml:space="preserve"> </w:t>
      </w:r>
      <w:r>
        <w:t xml:space="preserve">Access Security. This maps directly onto §4 (identity as the addressing</w:t>
      </w:r>
      <w:r>
        <w:t xml:space="preserve"> </w:t>
      </w:r>
      <w:r>
        <w:t xml:space="preserve">root) and, more specifically, §5 (privileged and administrative identity):</w:t>
      </w:r>
      <w:r>
        <w:t xml:space="preserve"> </w:t>
      </w:r>
      <w:r>
        <w:t xml:space="preserve">identity governance and administration platforms are built for periodic</w:t>
      </w:r>
      <w:r>
        <w:t xml:space="preserve"> </w:t>
      </w:r>
      <w:r>
        <w:t xml:space="preserve">access certification, separation-of-duties enforcement, and third-party/</w:t>
      </w:r>
      <w:r>
        <w:t xml:space="preserve"> </w:t>
      </w:r>
      <w:r>
        <w:t xml:space="preserve">non-employee identity risk — the product category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§5’s</w:t>
      </w:r>
      <w:r>
        <w:t xml:space="preserve"> </w:t>
      </w:r>
      <w:r>
        <w:t xml:space="preserve">“privileged</w:t>
      </w:r>
      <w:r>
        <w:t xml:space="preserve"> </w:t>
      </w:r>
      <w:r>
        <w:t xml:space="preserve">access is time-boxed”</w:t>
      </w:r>
      <w:r>
        <w:t xml:space="preserve"> </w:t>
      </w:r>
      <w:r>
        <w:t xml:space="preserve">and</w:t>
      </w:r>
      <w:r>
        <w:t xml:space="preserve"> </w:t>
      </w:r>
      <w:r>
        <w:t xml:space="preserve">“privileged-plane changes are independently</w:t>
      </w:r>
      <w:r>
        <w:t xml:space="preserve"> </w:t>
      </w:r>
      <w:r>
        <w:t xml:space="preserve">verified”</w:t>
      </w:r>
      <w:r>
        <w:t xml:space="preserve"> </w:t>
      </w:r>
      <w:r>
        <w:t xml:space="preserve">requirements, if certification campaigns are actually scoped to</w:t>
      </w:r>
      <w:r>
        <w:t xml:space="preserve"> </w:t>
      </w:r>
      <w:r>
        <w:t xml:space="preserve">catch group-membership drift (the CVE-2024-37085 failure mode, §2) and not</w:t>
      </w:r>
      <w:r>
        <w:t xml:space="preserve"> </w:t>
      </w:r>
      <w:r>
        <w:t xml:space="preserve">just initial provisioning.</w:t>
      </w:r>
    </w:p>
    <w:p>
      <w:pPr>
        <w:pStyle w:val="BodyText"/>
      </w:pPr>
      <w:r>
        <w:rPr>
          <w:b/>
          <w:bCs/>
        </w:rPr>
        <w:t xml:space="preserve">Native CSP tooling.</w:t>
      </w:r>
      <w:r>
        <w:t xml:space="preserve"> </w:t>
      </w:r>
      <w:r>
        <w:t xml:space="preserve">Every major CSP ships a policy-enforcement</w:t>
      </w:r>
      <w:r>
        <w:t xml:space="preserve"> </w:t>
      </w:r>
      <w:r>
        <w:t xml:space="preserve">mechanism and a posture/drift-detection tool inside its government-authorized</w:t>
      </w:r>
      <w:r>
        <w:t xml:space="preserve"> </w:t>
      </w:r>
      <w:r>
        <w:t xml:space="preserve">tier: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Preventive enforcement</w:t>
            </w:r>
          </w:p>
        </w:tc>
        <w:tc>
          <w:tcPr/>
          <w:p>
            <w:pPr>
              <w:pStyle w:val="Compact"/>
            </w:pPr>
            <w:r>
              <w:t xml:space="preserve">Posture / drift detection</w:t>
            </w:r>
          </w:p>
        </w:tc>
        <w:tc>
          <w:tcPr/>
          <w:p>
            <w:pPr>
              <w:pStyle w:val="Compact"/>
            </w:pPr>
            <w:r>
              <w:t xml:space="preserve">Government-tier FedRAMP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Azure</w:t>
            </w:r>
          </w:p>
        </w:tc>
        <w:tc>
          <w:tcPr/>
          <w:p>
            <w:pPr>
              <w:pStyle w:val="Compact"/>
            </w:pPr>
            <w:r>
              <w:t xml:space="preserve">Azure Policy (deny-effect guardrails)</w:t>
            </w:r>
          </w:p>
        </w:tc>
        <w:tc>
          <w:tcPr/>
          <w:p>
            <w:pPr>
              <w:pStyle w:val="Compact"/>
            </w:pPr>
            <w:r>
              <w:t xml:space="preserve">Microsoft Defender for Cloud</w:t>
            </w:r>
          </w:p>
        </w:tc>
        <w:tc>
          <w:tcPr/>
          <w:p>
            <w:pPr>
              <w:pStyle w:val="Compact"/>
            </w:pPr>
            <w:r>
              <w:t xml:space="preserve">Azure Government: authorized at a level meeting FedRAMP Moderate; Azure Policy ships a FedRAMP-Moderate-mapped built-in initiative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Service Control Policies (AWS Organizations)</w:t>
            </w:r>
          </w:p>
        </w:tc>
        <w:tc>
          <w:tcPr/>
          <w:p>
            <w:pPr>
              <w:pStyle w:val="Compact"/>
            </w:pPr>
            <w:r>
              <w:t xml:space="preserve">AWS Security Hub</w:t>
            </w:r>
          </w:p>
        </w:tc>
        <w:tc>
          <w:tcPr/>
          <w:p>
            <w:pPr>
              <w:pStyle w:val="Compact"/>
            </w:pPr>
            <w:r>
              <w:t xml:space="preserve">AWS GovCloud (US): authorized at a level meeting FedRAMP Moderate; Security Hub is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Organization Policy Service / VPC Service Controls</w:t>
            </w:r>
          </w:p>
        </w:tc>
        <w:tc>
          <w:tcPr/>
          <w:p>
            <w:pPr>
              <w:pStyle w:val="Compact"/>
            </w:pPr>
            <w:r>
              <w:t xml:space="preserve">Security Command Center</w:t>
            </w:r>
          </w:p>
        </w:tc>
        <w:tc>
          <w:tcPr/>
          <w:p>
            <w:pPr>
              <w:pStyle w:val="Compact"/>
            </w:pPr>
            <w:r>
              <w:t xml:space="preserve">Assured Workloads: authorized services (including Security Command Center) meet FedRAMP Moderate per Google’s own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Cloud Infrastructure</w:t>
            </w:r>
          </w:p>
        </w:tc>
        <w:tc>
          <w:tcPr/>
          <w:p>
            <w:pPr>
              <w:pStyle w:val="Compact"/>
            </w:pPr>
            <w:r>
              <w:t xml:space="preserve">OCI IAM policies</w:t>
            </w:r>
          </w:p>
        </w:tc>
        <w:tc>
          <w:tcPr/>
          <w:p>
            <w:pPr>
              <w:pStyle w:val="Compact"/>
            </w:pPr>
            <w:r>
              <w:t xml:space="preserve">Cloud Guard</w:t>
            </w:r>
          </w:p>
        </w:tc>
        <w:tc>
          <w:tcPr/>
          <w:p>
            <w:pPr>
              <w:pStyle w:val="Compact"/>
            </w:pPr>
            <w:r>
              <w:t xml:space="preserve">Oracle Cloud for Government: authorized at a level meeting FedRAMP Moderate; Cloud Guard is in scope</w:t>
            </w:r>
          </w:p>
        </w:tc>
      </w:tr>
    </w:tbl>
    <w:p>
      <w:pPr>
        <w:pStyle w:val="BodyText"/>
      </w:pPr>
      <w:r>
        <w:t xml:space="preserve">Each of these is a real, verified, government-authorized mechanism for</w:t>
      </w:r>
      <w:r>
        <w:t xml:space="preserve"> </w:t>
      </w:r>
      <w:r>
        <w:t xml:space="preserve">exactly the preventive-enforcement pattern §7 calls for —</w:t>
      </w:r>
      <w:r>
        <w:t xml:space="preserve"> </w:t>
      </w:r>
      <w:r>
        <w:rPr>
          <w:b/>
          <w:bCs/>
        </w:rPr>
        <w:t xml:space="preserve">within its own</w:t>
      </w:r>
      <w:r>
        <w:rPr>
          <w:b/>
          <w:bCs/>
        </w:rPr>
        <w:t xml:space="preserve"> </w:t>
      </w:r>
      <w:r>
        <w:rPr>
          <w:b/>
          <w:bCs/>
        </w:rPr>
        <w:t xml:space="preserve">platform.</w:t>
      </w:r>
      <w:r>
        <w:t xml:space="preserve"> </w:t>
      </w:r>
      <w:r>
        <w:t xml:space="preserve">None of the four reconciles across CSPs, the network layer, or a</w:t>
      </w:r>
      <w:r>
        <w:t xml:space="preserve"> </w:t>
      </w:r>
      <w:r>
        <w:t xml:space="preserve">VMware estate, which is precisely §9’s and §10’s point generalized past</w:t>
      </w:r>
      <w:r>
        <w:t xml:space="preserve"> </w:t>
      </w:r>
      <w:r>
        <w:t xml:space="preserve">Microsoft’s ecosystem: a CSP’s native tool is scoped to what that CSP can</w:t>
      </w:r>
      <w:r>
        <w:t xml:space="preserve"> </w:t>
      </w:r>
      <w:r>
        <w:t xml:space="preserve">see. ServiceNow and SailPoint are the two tool classes actually positioned</w:t>
      </w:r>
      <w:r>
        <w:t xml:space="preserve"> </w:t>
      </w:r>
      <w:r>
        <w:t xml:space="preserve">to span the silos, because workflow orchestration and identity governance</w:t>
      </w:r>
      <w:r>
        <w:t xml:space="preserve"> </w:t>
      </w:r>
      <w:r>
        <w:t xml:space="preserve">are not CSP-native categories — but neither is a substitute for the</w:t>
      </w:r>
      <w:r>
        <w:t xml:space="preserve"> </w:t>
      </w:r>
      <w:r>
        <w:t xml:space="preserve">naming/asset reconciliation §9 requires. They are the enforcement and</w:t>
      </w:r>
      <w:r>
        <w:t xml:space="preserve"> </w:t>
      </w:r>
      <w:r>
        <w:t xml:space="preserve">governance layer that sits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that reconciliation once it exists,</w:t>
      </w:r>
      <w:r>
        <w:t xml:space="preserve"> </w:t>
      </w:r>
      <w:r>
        <w:t xml:space="preserve">not the reconciliation itself.</w:t>
      </w:r>
    </w:p>
    <w:p>
      <w:pPr>
        <w:pStyle w:val="BodyText"/>
      </w:pPr>
      <w:r>
        <w:rPr>
          <w:b/>
          <w:bCs/>
        </w:rPr>
        <w:t xml:space="preserve">Two verification caveats, not a substitute for reading the ATO package:</w:t>
      </w:r>
      <w:r>
        <w:t xml:space="preserve"> </w:t>
      </w:r>
      <w:r>
        <w:t xml:space="preserve">FedRAMP authorization is per-service and per-region — a vendor meeting</w:t>
      </w:r>
      <w:r>
        <w:t xml:space="preserve"> </w:t>
      </w:r>
      <w:r>
        <w:t xml:space="preserve">Moderate requirements somewhere does not mean every feature, in every</w:t>
      </w:r>
      <w:r>
        <w:t xml:space="preserve"> </w:t>
      </w:r>
      <w:r>
        <w:t xml:space="preserve">region, is inside a given agency’s own authorization boundary; confirm the</w:t>
      </w:r>
      <w:r>
        <w:t xml:space="preserve"> </w:t>
      </w:r>
      <w:r>
        <w:t xml:space="preserve">specific service is named in the system’s own inheritance package. And a tool being licensed and</w:t>
      </w:r>
      <w:r>
        <w:t xml:space="preserve"> </w:t>
      </w:r>
      <w:r>
        <w:t xml:space="preserve">authorized is not the same as it being configured for the purpose described</w:t>
      </w:r>
      <w:r>
        <w:t xml:space="preserve"> </w:t>
      </w:r>
      <w:r>
        <w:t xml:space="preserve">here — the same governance-vs-enforcement gap in §7 applies to whether a</w:t>
      </w:r>
      <w:r>
        <w:t xml:space="preserve"> </w:t>
      </w:r>
      <w:r>
        <w:t xml:space="preserve">ServiceNow exception record actually expires or a SailPoint certification</w:t>
      </w:r>
      <w:r>
        <w:t xml:space="preserve"> </w:t>
      </w:r>
      <w:r>
        <w:t xml:space="preserve">campaign actually runs on schedule, not just whether the platform is present.</w:t>
      </w:r>
    </w:p>
    <w:bookmarkEnd w:id="34"/>
    <w:bookmarkStart w:id="35" w:name="what-an-agency-can-do-this-quarter"/>
    <w:p>
      <w:pPr>
        <w:pStyle w:val="Heading3"/>
      </w:pPr>
      <w:r>
        <w:t xml:space="preserve">13. What an agency can do this quarter</w:t>
      </w:r>
    </w:p>
    <w:p>
      <w:pPr>
        <w:pStyle w:val="FirstParagraph"/>
      </w:pPr>
      <w:r>
        <w:t xml:space="preserve">Concrete, vendor-agnostic governance steps, in order of leverage: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Inventory which pillar evidence is actually reproducible today.</w:t>
      </w:r>
      <w:r>
        <w:t xml:space="preserve"> </w:t>
      </w:r>
      <w:r>
        <w:t xml:space="preserve">For</w:t>
      </w:r>
      <w:r>
        <w:t xml:space="preserve"> </w:t>
      </w:r>
      <w:r>
        <w:t xml:space="preserve">each ZTMM pillar, can an independent assessor re-run the evidence pipeline</w:t>
      </w:r>
      <w:r>
        <w:t xml:space="preserve"> </w:t>
      </w:r>
      <w:r>
        <w:t xml:space="preserve">without coordinating with your operations staff? Where the answer is no,</w:t>
      </w:r>
      <w:r>
        <w:t xml:space="preserve"> </w:t>
      </w:r>
      <w:r>
        <w:t xml:space="preserve">that is where governance investment should go first — not into another</w:t>
      </w:r>
      <w:r>
        <w:t xml:space="preserve"> </w:t>
      </w:r>
      <w:r>
        <w:t xml:space="preserve">pillar tool.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Name an owner for cross-pillar correlation.</w:t>
      </w:r>
      <w:r>
        <w:t xml:space="preserve"> </w:t>
      </w:r>
      <w:r>
        <w:t xml:space="preserve">Pattern 1 (§1) persists as</w:t>
      </w:r>
      <w:r>
        <w:t xml:space="preserve"> </w:t>
      </w:r>
      <w:r>
        <w:t xml:space="preserve">long as no one is accountable for reconciling identity, device, and</w:t>
      </w:r>
      <w:r>
        <w:t xml:space="preserve"> </w:t>
      </w:r>
      <w:r>
        <w:t xml:space="preserve">workload signals against each other. This is an organizational decision,</w:t>
      </w:r>
      <w:r>
        <w:t xml:space="preserve"> </w:t>
      </w:r>
      <w:r>
        <w:t xml:space="preserve">not a procurement.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 up continuous drift detection as a governance function</w:t>
      </w:r>
      <w:r>
        <w:t xml:space="preserve">, not a</w:t>
      </w:r>
      <w:r>
        <w:t xml:space="preserve"> </w:t>
      </w:r>
      <w:r>
        <w:t xml:space="preserve">per-tool feature — even a manual quarterly reconciliation between declared</w:t>
      </w:r>
      <w:r>
        <w:t xml:space="preserve"> </w:t>
      </w:r>
      <w:r>
        <w:t xml:space="preserve">policy and observed configuration is a structural improvement over</w:t>
      </w:r>
      <w:r>
        <w:t xml:space="preserve"> </w:t>
      </w:r>
      <w:r>
        <w:t xml:space="preserve">discovering drift at audit time (Pattern 3, §1).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your cloud boundary explicitly.</w:t>
      </w:r>
      <w:r>
        <w:t xml:space="preserve"> </w:t>
      </w:r>
      <w:r>
        <w:t xml:space="preserve">If operating in GCC or an</w:t>
      </w:r>
      <w:r>
        <w:t xml:space="preserve"> </w:t>
      </w:r>
      <w:r>
        <w:t xml:space="preserve">equivalent FedRAMP Moderate government-community tier, produce the</w:t>
      </w:r>
      <w:r>
        <w:t xml:space="preserve"> </w:t>
      </w:r>
      <w:r>
        <w:t xml:space="preserve">capability-disposition inventory described in §8 before claiming a</w:t>
      </w:r>
      <w:r>
        <w:t xml:space="preserve"> </w:t>
      </w:r>
      <w:r>
        <w:t xml:space="preserve">maturity stage that assumes commercial-tier telemetry your tier does not</w:t>
      </w:r>
      <w:r>
        <w:t xml:space="preserve"> </w:t>
      </w:r>
      <w:r>
        <w:t xml:space="preserve">deliver.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Reconcile Network, CSP, and VMware asset identity to one authoritative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 before scoring any of them — and treat that unified source as a</w:t>
      </w:r>
      <w:r>
        <w:rPr>
          <w:b/>
          <w:bCs/>
        </w:rPr>
        <w:t xml:space="preserve"> </w:t>
      </w:r>
      <w:r>
        <w:rPr>
          <w:b/>
          <w:bCs/>
        </w:rPr>
        <w:t xml:space="preserve">Tier-0 asset in its own right (§9).</w:t>
      </w:r>
      <w:r>
        <w:t xml:space="preserve"> </w:t>
      </w:r>
      <w:r>
        <w:t xml:space="preserve">If the network team, the cloud</w:t>
      </w:r>
      <w:r>
        <w:t xml:space="preserve"> </w:t>
      </w:r>
      <w:r>
        <w:t xml:space="preserve">security team, and the virtualization team cannot point to the same</w:t>
      </w:r>
      <w:r>
        <w:t xml:space="preserve"> </w:t>
      </w:r>
      <w:r>
        <w:t xml:space="preserve">authoritative naming/asset record for a given workload, the</w:t>
      </w:r>
      <w:r>
        <w:t xml:space="preserve"> </w:t>
      </w:r>
      <w:r>
        <w:t xml:space="preserve">“whole-agency”</w:t>
      </w:r>
      <w:r>
        <w:t xml:space="preserve"> </w:t>
      </w:r>
      <w:r>
        <w:t xml:space="preserve">score is not measuring one architecture; once they can, the unification</w:t>
      </w:r>
      <w:r>
        <w:t xml:space="preserve"> </w:t>
      </w:r>
      <w:r>
        <w:t xml:space="preserve">layer itself needs the same privileged-access hardening as any other</w:t>
      </w:r>
      <w:r>
        <w:t xml:space="preserve"> </w:t>
      </w:r>
      <w:r>
        <w:t xml:space="preserve">crown-jewel system.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 agency-level ownership of the Zero Trust posture, separate from</w:t>
      </w:r>
      <w:r>
        <w:rPr>
          <w:b/>
          <w:bCs/>
        </w:rPr>
        <w:t xml:space="preserve"> </w:t>
      </w:r>
      <w:r>
        <w:rPr>
          <w:b/>
          <w:bCs/>
        </w:rPr>
        <w:t xml:space="preserve">any CSP relationship.</w:t>
      </w:r>
      <w:r>
        <w:t xml:space="preserve"> </w:t>
      </w:r>
      <w:r>
        <w:t xml:space="preserve">Per §10, no CSP’s native assessment tool — however</w:t>
      </w:r>
      <w:r>
        <w:t xml:space="preserve"> </w:t>
      </w:r>
      <w:r>
        <w:t xml:space="preserve">good — is scoped to see past its own platform. If the only place your</w:t>
      </w:r>
      <w:r>
        <w:t xml:space="preserve"> </w:t>
      </w:r>
      <w:r>
        <w:t xml:space="preserve">Zero Trust posture is</w:t>
      </w:r>
      <w:r>
        <w:t xml:space="preserve"> </w:t>
      </w:r>
      <w:r>
        <w:t xml:space="preserve">“owned”</w:t>
      </w:r>
      <w:r>
        <w:t xml:space="preserve"> </w:t>
      </w:r>
      <w:r>
        <w:t xml:space="preserve">is inside each CSP’s own console or report,</w:t>
      </w:r>
      <w:r>
        <w:t xml:space="preserve"> </w:t>
      </w:r>
      <w:r>
        <w:t xml:space="preserve">no one is actually accountable for the agency-wide picture; name that</w:t>
      </w:r>
      <w:r>
        <w:t xml:space="preserve"> </w:t>
      </w:r>
      <w:r>
        <w:t xml:space="preserve">owner explicitly.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Convert at least one detective control into a preventive one this</w:t>
      </w:r>
      <w:r>
        <w:rPr>
          <w:b/>
          <w:bCs/>
        </w:rPr>
        <w:t xml:space="preserve"> </w:t>
      </w:r>
      <w:r>
        <w:rPr>
          <w:b/>
          <w:bCs/>
        </w:rPr>
        <w:t xml:space="preserve">quarter.</w:t>
      </w:r>
      <w:r>
        <w:t xml:space="preserve"> </w:t>
      </w:r>
      <w:r>
        <w:t xml:space="preserve">Per §7, pick the single highest-leverage drift finding your</w:t>
      </w:r>
      <w:r>
        <w:t xml:space="preserve"> </w:t>
      </w:r>
      <w:r>
        <w:t xml:space="preserve">program currently only documents, and wire in an automated block — a</w:t>
      </w:r>
      <w:r>
        <w:t xml:space="preserve"> </w:t>
      </w:r>
      <w:r>
        <w:t xml:space="preserve">deny-effect cloud policy, a Conditional Access rule, ESXi lockdown mode —</w:t>
      </w:r>
      <w:r>
        <w:t xml:space="preserve"> </w:t>
      </w:r>
      <w:r>
        <w:t xml:space="preserve">rather than adding it to next quarter’s remediation list again.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Put privileged and administrative access under time-boxed,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independently-verified control</w:t>
      </w:r>
      <w:r>
        <w:t xml:space="preserve">, per §5 — starting with whichever admin</w:t>
      </w:r>
      <w:r>
        <w:t xml:space="preserve"> </w:t>
      </w:r>
      <w:r>
        <w:t xml:space="preserve">plane (identity, hypervisor, or CSP management account) currently has the</w:t>
      </w:r>
      <w:r>
        <w:t xml:space="preserve"> </w:t>
      </w:r>
      <w:r>
        <w:t xml:space="preserve">most standing, non-expiring access.</w:t>
      </w:r>
    </w:p>
    <w:p>
      <w:pPr>
        <w:pStyle w:val="FirstParagraph"/>
      </w:pPr>
      <w:r>
        <w:t xml:space="preserve">None of these requires a multi-year program or a new procurement. Each is a</w:t>
      </w:r>
      <w:r>
        <w:t xml:space="preserve"> </w:t>
      </w:r>
      <w:r>
        <w:t xml:space="preserve">governance decision that compounds — and each is exactly the kind of</w:t>
      </w:r>
      <w:r>
        <w:t xml:space="preserve"> </w:t>
      </w:r>
      <w:r>
        <w:t xml:space="preserve">investment the</w:t>
      </w:r>
      <w:r>
        <w:t xml:space="preserve"> </w:t>
      </w:r>
      <w:r>
        <w:t xml:space="preserve">“Governance”</w:t>
      </w:r>
      <w:r>
        <w:t xml:space="preserve"> </w:t>
      </w:r>
      <w:r>
        <w:t xml:space="preserve">cross-cutting capability in CISA’s own model</w:t>
      </w:r>
      <w:r>
        <w:t xml:space="preserve"> </w:t>
      </w:r>
      <w:r>
        <w:t xml:space="preserve">calls for.</w:t>
      </w:r>
    </w:p>
    <w:bookmarkEnd w:id="35"/>
    <w:bookmarkStart w:id="36" w:name="honest-limits"/>
    <w:p>
      <w:pPr>
        <w:pStyle w:val="Heading3"/>
      </w:pPr>
      <w:r>
        <w:t xml:space="preserve">14. Honest limits</w:t>
      </w:r>
    </w:p>
    <w:p>
      <w:pPr>
        <w:pStyle w:val="Compact"/>
        <w:numPr>
          <w:ilvl w:val="0"/>
          <w:numId w:val="1009"/>
        </w:numPr>
      </w:pPr>
      <w:r>
        <w:t xml:space="preserve">CISA’s ZTMM does not prescribe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implement the three cross-cutting</w:t>
      </w:r>
      <w:r>
        <w:t xml:space="preserve"> </w:t>
      </w:r>
      <w:r>
        <w:t xml:space="preserve">capabilities — the principles above are one architecturally sound reading</w:t>
      </w:r>
      <w:r>
        <w:t xml:space="preserve"> </w:t>
      </w:r>
      <w:r>
        <w:t xml:space="preserve">of the model’s Advanced/Optimal criteria, not the only path.</w:t>
      </w:r>
    </w:p>
    <w:p>
      <w:pPr>
        <w:pStyle w:val="Compact"/>
        <w:numPr>
          <w:ilvl w:val="0"/>
          <w:numId w:val="1009"/>
        </w:numPr>
      </w:pPr>
      <w:r>
        <w:t xml:space="preserve">The capability-disposition work in §8 is tenant-specific: Microsoft’s</w:t>
      </w:r>
      <w:r>
        <w:t xml:space="preserve"> </w:t>
      </w:r>
      <w:r>
        <w:t xml:space="preserve">service descriptions establish that feature availability narrows in GCC</w:t>
      </w:r>
      <w:r>
        <w:t xml:space="preserve"> </w:t>
      </w:r>
      <w:r>
        <w:t xml:space="preserve">relative to commercial in general, but don’t substitute for an agency</w:t>
      </w:r>
      <w:r>
        <w:t xml:space="preserve"> </w:t>
      </w:r>
      <w:r>
        <w:t xml:space="preserve">verifying its own tenant’s actual telemetry.</w:t>
      </w:r>
    </w:p>
    <w:p>
      <w:pPr>
        <w:pStyle w:val="Compact"/>
        <w:numPr>
          <w:ilvl w:val="0"/>
          <w:numId w:val="1009"/>
        </w:numPr>
      </w:pPr>
      <w:r>
        <w:t xml:space="preserve">“Continuous”</w:t>
      </w:r>
      <w:r>
        <w:t xml:space="preserve"> </w:t>
      </w:r>
      <w:r>
        <w:t xml:space="preserve">evidence (§6) is a target property, not a claim every agency</w:t>
      </w:r>
      <w:r>
        <w:t xml:space="preserve"> </w:t>
      </w:r>
      <w:r>
        <w:t xml:space="preserve">can reach immediately — the honest first step is usually identifying which</w:t>
      </w:r>
      <w:r>
        <w:t xml:space="preserve"> </w:t>
      </w:r>
      <w:r>
        <w:t xml:space="preserve">pillar evidence is</w:t>
      </w:r>
      <w:r>
        <w:t xml:space="preserve"> </w:t>
      </w:r>
      <w:r>
        <w:rPr>
          <w:i/>
          <w:iCs/>
        </w:rPr>
        <w:t xml:space="preserve">not yet</w:t>
      </w:r>
      <w:r>
        <w:t xml:space="preserve"> </w:t>
      </w:r>
      <w:r>
        <w:t xml:space="preserve">reproducible.</w:t>
      </w:r>
    </w:p>
    <w:p>
      <w:pPr>
        <w:pStyle w:val="Compact"/>
        <w:numPr>
          <w:ilvl w:val="0"/>
          <w:numId w:val="1009"/>
        </w:numPr>
      </w:pPr>
      <w:r>
        <w:t xml:space="preserve">The whole-agency argument (§9) is architectural, not an integration design.</w:t>
      </w:r>
      <w:r>
        <w:t xml:space="preserve"> </w:t>
      </w:r>
      <w:r>
        <w:t xml:space="preserve">Which CSPs and hypervisor platform an agency runs, and how exactly to</w:t>
      </w:r>
      <w:r>
        <w:t xml:space="preserve"> </w:t>
      </w:r>
      <w:r>
        <w:t xml:space="preserve">unify their naming and asset identity, are per-agency engineering</w:t>
      </w:r>
      <w:r>
        <w:t xml:space="preserve"> </w:t>
      </w:r>
      <w:r>
        <w:t xml:space="preserve">decisions this paper doesn’t prescribe.</w:t>
      </w:r>
    </w:p>
    <w:p>
      <w:pPr>
        <w:pStyle w:val="Compact"/>
        <w:numPr>
          <w:ilvl w:val="0"/>
          <w:numId w:val="1009"/>
        </w:numPr>
      </w:pPr>
      <w:r>
        <w:t xml:space="preserve">The SCuBA / Zero Trust Assessment comparison (§10) is a</w:t>
      </w:r>
      <w:r>
        <w:t xml:space="preserve"> </w:t>
      </w:r>
      <w:r>
        <w:t xml:space="preserve">Microsoft-ecosystem worked example, not a universal claim about every</w:t>
      </w:r>
      <w:r>
        <w:t xml:space="preserve"> </w:t>
      </w:r>
      <w:r>
        <w:t xml:space="preserve">CSP’s tooling — the overlap percentages are specific to those two tools;</w:t>
      </w:r>
      <w:r>
        <w:t xml:space="preserve"> </w:t>
      </w:r>
      <w:r>
        <w:t xml:space="preserve">only the</w:t>
      </w:r>
      <w:r>
        <w:t xml:space="preserve"> </w:t>
      </w:r>
      <w:r>
        <w:t xml:space="preserve">“can’t delegate ownership to a vendor’s tool”</w:t>
      </w:r>
      <w:r>
        <w:t xml:space="preserve"> </w:t>
      </w:r>
      <w:r>
        <w:t xml:space="preserve">principle</w:t>
      </w:r>
      <w:r>
        <w:t xml:space="preserve"> </w:t>
      </w:r>
      <w:r>
        <w:t xml:space="preserve">generalizes.</w:t>
      </w:r>
    </w:p>
    <w:p>
      <w:pPr>
        <w:pStyle w:val="Compact"/>
        <w:numPr>
          <w:ilvl w:val="0"/>
          <w:numId w:val="1009"/>
        </w:numPr>
      </w:pPr>
      <w:r>
        <w:t xml:space="preserve">The incidents cited (§2, §4, §5, §9) are illustrative, not a threat</w:t>
      </w:r>
      <w:r>
        <w:t xml:space="preserve"> </w:t>
      </w:r>
      <w:r>
        <w:t xml:space="preserve">catalogue — a real program’s threat model should come from its own risk</w:t>
      </w:r>
      <w:r>
        <w:t xml:space="preserve"> </w:t>
      </w:r>
      <w:r>
        <w:t xml:space="preserve">assessment. And this paper doesn’t cover OT/ICS or mainframe estates,</w:t>
      </w:r>
      <w:r>
        <w:t xml:space="preserve"> </w:t>
      </w:r>
      <w:r>
        <w:t xml:space="preserve">which many agencies also operate and to which the ZTMM pillars apply</w:t>
      </w:r>
      <w:r>
        <w:t xml:space="preserve"> </w:t>
      </w:r>
      <w:r>
        <w:t xml:space="preserve">differently.</w:t>
      </w:r>
    </w:p>
    <w:p>
      <w:pPr>
        <w:pStyle w:val="Compact"/>
        <w:numPr>
          <w:ilvl w:val="0"/>
          <w:numId w:val="1009"/>
        </w:numPr>
      </w:pPr>
      <w:r>
        <w:t xml:space="preserve">The FedRAMP authorization statuses in §12 are a snapshot, verified at the</w:t>
      </w:r>
      <w:r>
        <w:t xml:space="preserve"> </w:t>
      </w:r>
      <w:r>
        <w:t xml:space="preserve">time of writing, of specific named products (ServiceNow Government</w:t>
      </w:r>
      <w:r>
        <w:t xml:space="preserve"> </w:t>
      </w:r>
      <w:r>
        <w:t xml:space="preserve">Community Cloud, SailPoint Identity Security Cloud, and each CSP’s</w:t>
      </w:r>
      <w:r>
        <w:t xml:space="preserve"> </w:t>
      </w:r>
      <w:r>
        <w:t xml:space="preserve">government-authorized tier). Authorization scope changes as vendors add</w:t>
      </w:r>
      <w:r>
        <w:t xml:space="preserve"> </w:t>
      </w:r>
      <w:r>
        <w:t xml:space="preserve">services and renew ATOs; confirm current status against FedRAMP’s own</w:t>
      </w:r>
      <w:r>
        <w:t xml:space="preserve"> </w:t>
      </w:r>
      <w:r>
        <w:t xml:space="preserve">marketplace listing before relying on it, and treat §12’s tool mapping as</w:t>
      </w:r>
      <w:r>
        <w:t xml:space="preserve"> </w:t>
      </w:r>
      <w:r>
        <w:t xml:space="preserve">a starting inventory, not an audit finding.</w:t>
      </w:r>
    </w:p>
    <w:bookmarkEnd w:id="36"/>
    <w:bookmarkStart w:id="37" w:name="conclusion"/>
    <w:p>
      <w:pPr>
        <w:pStyle w:val="Heading3"/>
      </w:pPr>
      <w:r>
        <w:t xml:space="preserve">15. Conclusion</w:t>
      </w:r>
    </w:p>
    <w:p>
      <w:pPr>
        <w:pStyle w:val="FirstParagraph"/>
      </w:pPr>
      <w:r>
        <w:t xml:space="preserve">CISA’s Zero Trust Maturity Model is frequently read as a five-pillar</w:t>
      </w:r>
      <w:r>
        <w:t xml:space="preserve"> </w:t>
      </w:r>
      <w:r>
        <w:t xml:space="preserve">checklist. Read correctly, it’s a five-pillar model</w:t>
      </w:r>
      <w:r>
        <w:t xml:space="preserve"> </w:t>
      </w:r>
      <w:r>
        <w:rPr>
          <w:b/>
          <w:bCs/>
        </w:rPr>
        <w:t xml:space="preserve">operated through</w:t>
      </w:r>
      <w:r>
        <w:t xml:space="preserve"> </w:t>
      </w:r>
      <w:r>
        <w:t xml:space="preserve">three cross-cutting capabilities, and Governance is the one federal programs</w:t>
      </w:r>
      <w:r>
        <w:t xml:space="preserve"> </w:t>
      </w:r>
      <w:r>
        <w:t xml:space="preserve">invest in least and need most to reach Advanced or Optimal maturity.</w:t>
      </w:r>
    </w:p>
    <w:p>
      <w:pPr>
        <w:pStyle w:val="BodyText"/>
      </w:pPr>
      <w:r>
        <w:t xml:space="preserve">The principles in this paper follow one thread: identity is a necessary</w:t>
      </w:r>
      <w:r>
        <w:t xml:space="preserve"> </w:t>
      </w:r>
      <w:r>
        <w:t xml:space="preserve">anchor, not a self-authenticating one — which is exactly why its</w:t>
      </w:r>
      <w:r>
        <w:t xml:space="preserve"> </w:t>
      </w:r>
      <w:r>
        <w:t xml:space="preserve">administrators, its evidence trail, its enforcement, its cloud boundary, and</w:t>
      </w:r>
      <w:r>
        <w:t xml:space="preserve"> </w:t>
      </w:r>
      <w:r>
        <w:t xml:space="preserve">its reach across Network, CSPs, and VMware all need governing in their own</w:t>
      </w:r>
      <w:r>
        <w:t xml:space="preserve"> </w:t>
      </w:r>
      <w:r>
        <w:t xml:space="preserve">right, not just the identity assertion itself. None of that is a product to</w:t>
      </w:r>
      <w:r>
        <w:t xml:space="preserve"> </w:t>
      </w:r>
      <w:r>
        <w:t xml:space="preserve">buy. It’s what CISA’s model already requires — read in full, and read</w:t>
      </w:r>
      <w:r>
        <w:t xml:space="preserve"> </w:t>
      </w:r>
      <w:r>
        <w:t xml:space="preserve">against how these architectures actually fail in practice — of any program</w:t>
      </w:r>
      <w:r>
        <w:t xml:space="preserve"> </w:t>
      </w:r>
      <w:r>
        <w:t xml:space="preserve">serious about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agency, rather than a horse somewhere behind a</w:t>
      </w:r>
      <w:r>
        <w:t xml:space="preserve"> </w:t>
      </w:r>
      <w:r>
        <w:t xml:space="preserve">cart that already left.</w:t>
      </w:r>
    </w:p>
    <w:bookmarkEnd w:id="37"/>
    <w:bookmarkStart w:id="48" w:name="sources"/>
    <w:p>
      <w:pPr>
        <w:pStyle w:val="Heading3"/>
      </w:pPr>
      <w:r>
        <w:t xml:space="preserve">Sources</w:t>
      </w:r>
    </w:p>
    <w:p>
      <w:pPr>
        <w:pStyle w:val="Compact"/>
        <w:numPr>
          <w:ilvl w:val="0"/>
          <w:numId w:val="1010"/>
        </w:numPr>
      </w:pPr>
      <w:r>
        <w:t xml:space="preserve">CISA,</w:t>
      </w:r>
      <w:r>
        <w:t xml:space="preserve"> </w:t>
      </w:r>
      <w:hyperlink r:id="rId19">
        <w:r>
          <w:rPr>
            <w:rStyle w:val="Hyperlink"/>
          </w:rPr>
          <w:t xml:space="preserve">Zero Trust Maturity Model v2.0</w:t>
        </w:r>
      </w:hyperlink>
    </w:p>
    <w:p>
      <w:pPr>
        <w:pStyle w:val="Compact"/>
        <w:numPr>
          <w:ilvl w:val="0"/>
          <w:numId w:val="1010"/>
        </w:numPr>
      </w:pPr>
      <w:r>
        <w:t xml:space="preserve">NIST SP 800-207,</w:t>
      </w:r>
      <w:r>
        <w:t xml:space="preserve"> </w:t>
      </w:r>
      <w:r>
        <w:rPr>
          <w:i/>
          <w:iCs/>
        </w:rPr>
        <w:t xml:space="preserve">Zero Trust Architecture</w:t>
      </w:r>
    </w:p>
    <w:p>
      <w:pPr>
        <w:pStyle w:val="Compact"/>
        <w:numPr>
          <w:ilvl w:val="0"/>
          <w:numId w:val="1010"/>
        </w:numPr>
      </w:pPr>
      <w:r>
        <w:t xml:space="preserve">NIST SP 800-137,</w:t>
      </w:r>
      <w:r>
        <w:t xml:space="preserve"> </w:t>
      </w:r>
      <w:r>
        <w:rPr>
          <w:i/>
          <w:iCs/>
        </w:rPr>
        <w:t xml:space="preserve">Information Security Continuous Monitoring (ISCM) for Federal Information Systems and Organizations</w:t>
      </w:r>
    </w:p>
    <w:p>
      <w:pPr>
        <w:pStyle w:val="Compact"/>
        <w:numPr>
          <w:ilvl w:val="0"/>
          <w:numId w:val="1010"/>
        </w:numPr>
      </w:pPr>
      <w:r>
        <w:t xml:space="preserve">NIST SP 800-53 Rev 5, controls CA-7 (Continuous Monitoring), CM-8 (System Component Inventory), SC-20/21/22 (Secure Name/Address Resolution)</w:t>
      </w:r>
    </w:p>
    <w:p>
      <w:pPr>
        <w:pStyle w:val="Compact"/>
        <w:numPr>
          <w:ilvl w:val="0"/>
          <w:numId w:val="1010"/>
        </w:numPr>
      </w:pPr>
      <w:r>
        <w:t xml:space="preserve">OMB M-22-09,</w:t>
      </w:r>
      <w:r>
        <w:t xml:space="preserve"> </w:t>
      </w:r>
      <w:r>
        <w:rPr>
          <w:i/>
          <w:iCs/>
        </w:rPr>
        <w:t xml:space="preserve">Moving the U.S. Government Toward Zero Trust Cybersecurity Principles</w:t>
      </w:r>
    </w:p>
    <w:p>
      <w:pPr>
        <w:pStyle w:val="Compact"/>
        <w:numPr>
          <w:ilvl w:val="0"/>
          <w:numId w:val="1010"/>
        </w:numPr>
      </w:pPr>
      <w:r>
        <w:t xml:space="preserve">Executive Order 14028,</w:t>
      </w:r>
      <w:r>
        <w:t xml:space="preserve"> </w:t>
      </w:r>
      <w:r>
        <w:rPr>
          <w:i/>
          <w:iCs/>
        </w:rPr>
        <w:t xml:space="preserve">Improving the Nation’s Cybersecurity</w:t>
      </w:r>
    </w:p>
    <w:p>
      <w:pPr>
        <w:pStyle w:val="Compact"/>
        <w:numPr>
          <w:ilvl w:val="0"/>
          <w:numId w:val="1010"/>
        </w:numPr>
      </w:pPr>
      <w:r>
        <w:t xml:space="preserve">CISA,</w:t>
      </w:r>
      <w:r>
        <w:t xml:space="preserve"> </w:t>
      </w:r>
      <w:hyperlink r:id="rId24">
        <w:r>
          <w:rPr>
            <w:rStyle w:val="Hyperlink"/>
          </w:rPr>
          <w:t xml:space="preserve">Binding Operational Directive 25-01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Implementing Secure Practices for Cloud Services</w:t>
      </w:r>
    </w:p>
    <w:p>
      <w:pPr>
        <w:pStyle w:val="Compact"/>
        <w:numPr>
          <w:ilvl w:val="0"/>
          <w:numId w:val="1010"/>
        </w:numPr>
      </w:pPr>
      <w:r>
        <w:t xml:space="preserve">CISA, Binding Operational Directive 23-01,</w:t>
      </w:r>
      <w:r>
        <w:t xml:space="preserve"> </w:t>
      </w:r>
      <w:r>
        <w:rPr>
          <w:i/>
          <w:iCs/>
        </w:rPr>
        <w:t xml:space="preserve">Improving Asset Visibility and Vulnerability Detection on Federal Networks</w:t>
      </w:r>
    </w:p>
    <w:p>
      <w:pPr>
        <w:pStyle w:val="Compact"/>
        <w:numPr>
          <w:ilvl w:val="0"/>
          <w:numId w:val="1010"/>
        </w:numPr>
      </w:pPr>
      <w:r>
        <w:t xml:space="preserve">OMB M-19-26; CISA,</w:t>
      </w:r>
      <w:r>
        <w:t xml:space="preserve"> </w:t>
      </w:r>
      <w:hyperlink r:id="rId28">
        <w:r>
          <w:rPr>
            <w:rStyle w:val="Hyperlink"/>
          </w:rPr>
          <w:t xml:space="preserve">Trusted Internet Connections (TIC) 3.0</w:t>
        </w:r>
      </w:hyperlink>
    </w:p>
    <w:p>
      <w:pPr>
        <w:pStyle w:val="Compact"/>
        <w:numPr>
          <w:ilvl w:val="0"/>
          <w:numId w:val="1010"/>
        </w:numPr>
      </w:pPr>
      <w:r>
        <w:t xml:space="preserve">Microsoft,</w:t>
      </w:r>
      <w:r>
        <w:t xml:space="preserve"> </w:t>
      </w:r>
      <w:hyperlink r:id="rId27">
        <w:r>
          <w:rPr>
            <w:rStyle w:val="Hyperlink"/>
          </w:rPr>
          <w:t xml:space="preserve">Office 365 GCC service description</w:t>
        </w:r>
      </w:hyperlink>
    </w:p>
    <w:p>
      <w:pPr>
        <w:pStyle w:val="Compact"/>
        <w:numPr>
          <w:ilvl w:val="0"/>
          <w:numId w:val="1010"/>
        </w:numPr>
      </w:pPr>
      <w:r>
        <w:t xml:space="preserve">Microsoft Security Response Center,</w:t>
      </w:r>
      <w:r>
        <w:t xml:space="preserve"> </w:t>
      </w:r>
      <w:hyperlink r:id="rId38">
        <w:r>
          <w:rPr>
            <w:rStyle w:val="Hyperlink"/>
          </w:rPr>
          <w:t xml:space="preserve">Analysis of Storm-0558 techniques for unauthorized email access</w:t>
        </w:r>
      </w:hyperlink>
      <w:r>
        <w:t xml:space="preserve"> </w:t>
      </w:r>
      <w:r>
        <w:t xml:space="preserve">(July 2023)</w:t>
      </w:r>
    </w:p>
    <w:p>
      <w:pPr>
        <w:pStyle w:val="Compact"/>
        <w:numPr>
          <w:ilvl w:val="0"/>
          <w:numId w:val="1010"/>
        </w:numPr>
      </w:pPr>
      <w:r>
        <w:t xml:space="preserve">U.S. Department of Homeland Security, Cyber Safety Review Board, review of the summer 2023 Microsoft Exchange Online intrusion (2024)</w:t>
      </w:r>
    </w:p>
    <w:p>
      <w:pPr>
        <w:pStyle w:val="Compact"/>
        <w:numPr>
          <w:ilvl w:val="0"/>
          <w:numId w:val="1010"/>
        </w:numPr>
      </w:pPr>
      <w:r>
        <w:t xml:space="preserve">CISA and FBI, joint advisory on the ESXiArgs ransomware campaign exploiting CVE-2021-21974 (February 2023)</w:t>
      </w:r>
    </w:p>
    <w:p>
      <w:pPr>
        <w:pStyle w:val="Compact"/>
        <w:numPr>
          <w:ilvl w:val="0"/>
          <w:numId w:val="1010"/>
        </w:numPr>
      </w:pPr>
      <w:r>
        <w:t xml:space="preserve">Reporting on VMware ESXi authentication-bypass CVE-2024-37085 exploited by ransomware operators (July 2024)</w:t>
      </w:r>
    </w:p>
    <w:p>
      <w:pPr>
        <w:pStyle w:val="Compact"/>
        <w:numPr>
          <w:ilvl w:val="0"/>
          <w:numId w:val="1010"/>
        </w:numPr>
      </w:pPr>
      <w:r>
        <w:t xml:space="preserve">ServiceNow,</w:t>
      </w:r>
      <w:r>
        <w:t xml:space="preserve"> </w:t>
      </w:r>
      <w:hyperlink r:id="rId39">
        <w:r>
          <w:rPr>
            <w:rStyle w:val="Hyperlink"/>
          </w:rPr>
          <w:t xml:space="preserve">Government Community Cloud and FedRAMP</w:t>
        </w:r>
      </w:hyperlink>
      <w:r>
        <w:t xml:space="preserve"> </w:t>
      </w:r>
      <w:r>
        <w:t xml:space="preserve">— authorization meets FedRAMP Moderate requirements</w:t>
      </w:r>
    </w:p>
    <w:p>
      <w:pPr>
        <w:pStyle w:val="Compact"/>
        <w:numPr>
          <w:ilvl w:val="0"/>
          <w:numId w:val="1010"/>
        </w:numPr>
      </w:pPr>
      <w:r>
        <w:t xml:space="preserve">SailPoint,</w:t>
      </w:r>
      <w:r>
        <w:t xml:space="preserve"> </w:t>
      </w:r>
      <w:hyperlink r:id="rId40">
        <w:r>
          <w:rPr>
            <w:rStyle w:val="Hyperlink"/>
          </w:rPr>
          <w:t xml:space="preserve">FedRAMP-authorized Identity Security Cloud</w:t>
        </w:r>
      </w:hyperlink>
      <w:r>
        <w:t xml:space="preserve"> </w:t>
      </w:r>
      <w:r>
        <w:t xml:space="preserve">— FedRAMP Moderate ATO; FedRAMP-authorized Non-Employee Risk Management and Data Access Security</w:t>
      </w:r>
    </w:p>
    <w:p>
      <w:pPr>
        <w:pStyle w:val="Compact"/>
        <w:numPr>
          <w:ilvl w:val="0"/>
          <w:numId w:val="1010"/>
        </w:numPr>
      </w:pPr>
      <w:r>
        <w:t xml:space="preserve">Amazon Web Services,</w:t>
      </w:r>
      <w:r>
        <w:t xml:space="preserve"> </w:t>
      </w:r>
      <w:hyperlink r:id="rId41">
        <w:r>
          <w:rPr>
            <w:rStyle w:val="Hyperlink"/>
          </w:rPr>
          <w:t xml:space="preserve">FedRAMP compliance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AWS Security Hub FedRAMP authorization</w:t>
        </w:r>
      </w:hyperlink>
      <w:r>
        <w:t xml:space="preserve"> </w:t>
      </w:r>
      <w:r>
        <w:t xml:space="preserve">— meets FedRAMP Moderate requirements</w:t>
      </w:r>
    </w:p>
    <w:p>
      <w:pPr>
        <w:pStyle w:val="Compact"/>
        <w:numPr>
          <w:ilvl w:val="0"/>
          <w:numId w:val="1010"/>
        </w:numPr>
      </w:pPr>
      <w:r>
        <w:t xml:space="preserve">Microsoft,</w:t>
      </w:r>
      <w:r>
        <w:t xml:space="preserve"> </w:t>
      </w:r>
      <w:hyperlink r:id="rId43">
        <w:r>
          <w:rPr>
            <w:rStyle w:val="Hyperlink"/>
          </w:rPr>
          <w:t xml:space="preserve">FedRAMP compliance offering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FedRAMP-Moderate-mapped regulatory compliance in Azure Policy</w:t>
        </w:r>
      </w:hyperlink>
    </w:p>
    <w:p>
      <w:pPr>
        <w:pStyle w:val="Compact"/>
        <w:numPr>
          <w:ilvl w:val="0"/>
          <w:numId w:val="1010"/>
        </w:numPr>
      </w:pPr>
      <w:r>
        <w:t xml:space="preserve">Google Cloud,</w:t>
      </w:r>
      <w:r>
        <w:t xml:space="preserve"> </w:t>
      </w:r>
      <w:hyperlink r:id="rId45">
        <w:r>
          <w:rPr>
            <w:rStyle w:val="Hyperlink"/>
          </w:rPr>
          <w:t xml:space="preserve">FedRAMP compliance</w:t>
        </w:r>
      </w:hyperlink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FedRAMP authorization for Security Command Center and additional services</w:t>
        </w:r>
      </w:hyperlink>
      <w:r>
        <w:t xml:space="preserve"> </w:t>
      </w:r>
      <w:r>
        <w:t xml:space="preserve">— meets FedRAMP Moderate requirements</w:t>
      </w:r>
    </w:p>
    <w:p>
      <w:pPr>
        <w:pStyle w:val="Compact"/>
        <w:numPr>
          <w:ilvl w:val="0"/>
          <w:numId w:val="1010"/>
        </w:numPr>
      </w:pPr>
      <w:r>
        <w:t xml:space="preserve">Oracle,</w:t>
      </w:r>
      <w:r>
        <w:t xml:space="preserve"> </w:t>
      </w:r>
      <w:hyperlink r:id="rId47">
        <w:r>
          <w:rPr>
            <w:rStyle w:val="Hyperlink"/>
          </w:rPr>
          <w:t xml:space="preserve">FedRAMP-authorized Oracle Government Cloud</w:t>
        </w:r>
      </w:hyperlink>
      <w:r>
        <w:t xml:space="preserve"> </w:t>
      </w:r>
      <w:r>
        <w:t xml:space="preserve">— meets FedRAMP Moderate requirements</w:t>
      </w:r>
    </w:p>
    <w:bookmarkEnd w:id="48"/>
    <w:bookmarkEnd w:id="49"/>
    <w:bookmarkEnd w:id="50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14:56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42" Target="https://aws.amazon.com/about-aws/whats-new/2021/04/aws-security-hub-achieves-fedramp-high-authorization-to-enable-security-posture-management-for-high-impact-workloads/" TargetMode="External" /><Relationship Type="http://schemas.openxmlformats.org/officeDocument/2006/relationships/hyperlink" Id="rId41" Target="https://aws.amazon.com/compliance/fedramp/" TargetMode="External" /><Relationship Type="http://schemas.openxmlformats.org/officeDocument/2006/relationships/hyperlink" Id="rId46" Target="https://cloud.google.com/blog/topics/public-sector/google-cloud-achieves-fedramp-high-authorization-on-100-additional-services" TargetMode="External" /><Relationship Type="http://schemas.openxmlformats.org/officeDocument/2006/relationships/hyperlink" Id="rId45" Target="https://cloud.google.com/security/compliance/fedramp" TargetMode="External" /><Relationship Type="http://schemas.openxmlformats.org/officeDocument/2006/relationships/hyperlink" Id="rId43" Target="https://learn.microsoft.com/en-us/azure/compliance/offerings/offering-fedramp" TargetMode="External" /><Relationship Type="http://schemas.openxmlformats.org/officeDocument/2006/relationships/hyperlink" Id="rId44" Target="https://learn.microsoft.com/en-us/azure/governance/policy/samples/gov-fedramp-high" TargetMode="External" /><Relationship Type="http://schemas.openxmlformats.org/officeDocument/2006/relationships/hyperlink" Id="rId27" Target="https://learn.microsoft.com/en-us/office365/servicedescriptions/office-365-platform-service-description/office-365-us-government/gcc" TargetMode="External" /><Relationship Type="http://schemas.openxmlformats.org/officeDocument/2006/relationships/hyperlink" Id="rId21" Target="https://whalermike.github.io/uiao/customer-documents/orgcomp-series/Vol_I_Book_03_OrgComp_Certificates_Tokens_Cryptographic_Identity.html" TargetMode="External" /><Relationship Type="http://schemas.openxmlformats.org/officeDocument/2006/relationships/hyperlink" Id="rId30" Target="https://whalermike.github.io/uiao/customer-documents/whitepapers/zero-trust-whole-agency-unification.html" TargetMode="External" /><Relationship Type="http://schemas.openxmlformats.org/officeDocument/2006/relationships/hyperlink" Id="rId24" Target="https://www.cisa.gov/news-events/directives/bod-25-01-implementing-secure-practices-cloud-services" TargetMode="External" /><Relationship Type="http://schemas.openxmlformats.org/officeDocument/2006/relationships/hyperlink" Id="rId28" Target="https://www.cisa.gov/resources-tools/programs/trusted-internet-connections-tic" TargetMode="External" /><Relationship Type="http://schemas.openxmlformats.org/officeDocument/2006/relationships/hyperlink" Id="rId19" Target="https://www.cisa.gov/zero-trust-maturity-model" TargetMode="External" /><Relationship Type="http://schemas.openxmlformats.org/officeDocument/2006/relationships/hyperlink" Id="rId38" Target="https://www.microsoft.com/en-us/security/blog/2023/07/14/analysis-of-storm-0558-techniques-for-unauthorized-email-access/" TargetMode="External" /><Relationship Type="http://schemas.openxmlformats.org/officeDocument/2006/relationships/hyperlink" Id="rId47" Target="https://www.oracle.com/government/govcloud/fedramp-high-jab/" TargetMode="External" /><Relationship Type="http://schemas.openxmlformats.org/officeDocument/2006/relationships/hyperlink" Id="rId40" Target="https://www.sailpoint.com/solutions/fedramp-isc" TargetMode="External" /><Relationship Type="http://schemas.openxmlformats.org/officeDocument/2006/relationships/hyperlink" Id="rId39" Target="https://www.servicenow.com/company/media/press-room/servicenow-secures-fedramp-high-authorization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ws.amazon.com/about-aws/whats-new/2021/04/aws-security-hub-achieves-fedramp-high-authorization-to-enable-security-posture-management-for-high-impact-workloads/" TargetMode="External" /><Relationship Type="http://schemas.openxmlformats.org/officeDocument/2006/relationships/hyperlink" Id="rId41" Target="https://aws.amazon.com/compliance/fedramp/" TargetMode="External" /><Relationship Type="http://schemas.openxmlformats.org/officeDocument/2006/relationships/hyperlink" Id="rId46" Target="https://cloud.google.com/blog/topics/public-sector/google-cloud-achieves-fedramp-high-authorization-on-100-additional-services" TargetMode="External" /><Relationship Type="http://schemas.openxmlformats.org/officeDocument/2006/relationships/hyperlink" Id="rId45" Target="https://cloud.google.com/security/compliance/fedramp" TargetMode="External" /><Relationship Type="http://schemas.openxmlformats.org/officeDocument/2006/relationships/hyperlink" Id="rId43" Target="https://learn.microsoft.com/en-us/azure/compliance/offerings/offering-fedramp" TargetMode="External" /><Relationship Type="http://schemas.openxmlformats.org/officeDocument/2006/relationships/hyperlink" Id="rId44" Target="https://learn.microsoft.com/en-us/azure/governance/policy/samples/gov-fedramp-high" TargetMode="External" /><Relationship Type="http://schemas.openxmlformats.org/officeDocument/2006/relationships/hyperlink" Id="rId27" Target="https://learn.microsoft.com/en-us/office365/servicedescriptions/office-365-platform-service-description/office-365-us-government/gcc" TargetMode="External" /><Relationship Type="http://schemas.openxmlformats.org/officeDocument/2006/relationships/hyperlink" Id="rId21" Target="https://whalermike.github.io/uiao/customer-documents/orgcomp-series/Vol_I_Book_03_OrgComp_Certificates_Tokens_Cryptographic_Identity.html" TargetMode="External" /><Relationship Type="http://schemas.openxmlformats.org/officeDocument/2006/relationships/hyperlink" Id="rId30" Target="https://whalermike.github.io/uiao/customer-documents/whitepapers/zero-trust-whole-agency-unification.html" TargetMode="External" /><Relationship Type="http://schemas.openxmlformats.org/officeDocument/2006/relationships/hyperlink" Id="rId24" Target="https://www.cisa.gov/news-events/directives/bod-25-01-implementing-secure-practices-cloud-services" TargetMode="External" /><Relationship Type="http://schemas.openxmlformats.org/officeDocument/2006/relationships/hyperlink" Id="rId28" Target="https://www.cisa.gov/resources-tools/programs/trusted-internet-connections-tic" TargetMode="External" /><Relationship Type="http://schemas.openxmlformats.org/officeDocument/2006/relationships/hyperlink" Id="rId19" Target="https://www.cisa.gov/zero-trust-maturity-model" TargetMode="External" /><Relationship Type="http://schemas.openxmlformats.org/officeDocument/2006/relationships/hyperlink" Id="rId38" Target="https://www.microsoft.com/en-us/security/blog/2023/07/14/analysis-of-storm-0558-techniques-for-unauthorized-email-access/" TargetMode="External" /><Relationship Type="http://schemas.openxmlformats.org/officeDocument/2006/relationships/hyperlink" Id="rId47" Target="https://www.oracle.com/government/govcloud/fedramp-high-jab/" TargetMode="External" /><Relationship Type="http://schemas.openxmlformats.org/officeDocument/2006/relationships/hyperlink" Id="rId40" Target="https://www.sailpoint.com/solutions/fedramp-isc" TargetMode="External" /><Relationship Type="http://schemas.openxmlformats.org/officeDocument/2006/relationships/hyperlink" Id="rId39" Target="https://www.servicenow.com/company/media/press-room/servicenow-secures-fedramp-high-author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 Trust Governance Principles</dc:title>
  <dc:creator>Michael Stratton</dc:creator>
  <cp:keywords/>
  <dcterms:created xsi:type="dcterms:W3CDTF">2026-09-16T14:56:54Z</dcterms:created>
  <dcterms:modified xsi:type="dcterms:W3CDTF">2026-09-16T14:56:54Z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reated-at">
    <vt:lpwstr>2026-07-31</vt:lpwstr>
  </property>
  <property fmtid="{D5CDD505-2E9C-101B-9397-08002B2CF9AE}" pid="7" name="date">
    <vt:lpwstr>2026-07-01</vt:lpwstr>
  </property>
  <property fmtid="{D5CDD505-2E9C-101B-9397-08002B2CF9AE}" pid="8" name="doc-type">
    <vt:lpwstr>whitepaper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mermaid">
    <vt:lpwstr/>
  </property>
  <property fmtid="{D5CDD505-2E9C-101B-9397-08002B2CF9AE}" pid="14" name="status">
    <vt:lpwstr>Active</vt:lpwstr>
  </property>
  <property fmtid="{D5CDD505-2E9C-101B-9397-08002B2CF9AE}" pid="15" name="subtitle">
    <vt:lpwstr>Why CISA’s cross-cutting capabilities — not another per-pillar tool — are what moves a program past Initial maturity</vt:lpwstr>
  </property>
  <property fmtid="{D5CDD505-2E9C-101B-9397-08002B2CF9AE}" pid="16" name="toc-title">
    <vt:lpwstr>Table of contents</vt:lpwstr>
  </property>
  <property fmtid="{D5CDD505-2E9C-101B-9397-08002B2CF9AE}" pid="17" name="updated-at">
    <vt:lpwstr>2026-09-16</vt:lpwstr>
  </property>
  <property fmtid="{D5CDD505-2E9C-101B-9397-08002B2CF9AE}" pid="18" name="version">
    <vt:lpwstr>1.2</vt:lpwstr>
  </property>
</Properties>
</file>