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Whitepaper Reading Guide</w:t>
      </w:r>
    </w:p>
    <w:p>
      <w:pPr>
        <w:pStyle w:val="Subtitle"/>
      </w:pPr>
      <w:r>
        <w:t xml:space="preserve">How the 29 papers relate, and recommended paths through them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2026-08-01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whitepaper-reading-guide"/>
    <w:p>
      <w:pPr>
        <w:pStyle w:val="Heading1"/>
      </w:pPr>
      <w:r>
        <w:t xml:space="preserve">Whitepaper Reading Guide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section index</w:t>
        </w:r>
      </w:hyperlink>
      <w:r>
        <w:t xml:space="preserve"> </w:t>
      </w:r>
      <w:r>
        <w:t xml:space="preserve">lists all 29 papers as a flat table —</w:t>
      </w:r>
      <w:r>
        <w:t xml:space="preserve"> </w:t>
      </w:r>
      <w:r>
        <w:t xml:space="preserve">good for lookup, silent on how the papers relate to each other or what</w:t>
      </w:r>
      <w:r>
        <w:t xml:space="preserve"> </w:t>
      </w:r>
      <w:r>
        <w:t xml:space="preserve">order to read them in. This page groups them into tracks and proposes</w:t>
      </w:r>
      <w:r>
        <w:t xml:space="preserve"> </w:t>
      </w:r>
      <w:r>
        <w:t xml:space="preserve">reading paths for common audiences. It is a companion to the index, not</w:t>
      </w:r>
      <w:r>
        <w:t xml:space="preserve"> </w:t>
      </w:r>
      <w:r>
        <w:t xml:space="preserve">a replacement, and states no doctrine of its own — every claim below is</w:t>
      </w:r>
      <w:r>
        <w:t xml:space="preserve"> </w:t>
      </w:r>
      <w:r>
        <w:t xml:space="preserve">about the papers’ own content and status, not a canon claim.</w:t>
      </w:r>
    </w:p>
    <w:bookmarkStart w:id="13" w:name="the-corpus-at-a-glance"/>
    <w:p>
      <w:pPr>
        <w:pStyle w:val="Heading2"/>
      </w:pPr>
      <w:r>
        <w:t xml:space="preserve">The corpus at a glance</w:t>
      </w:r>
    </w:p>
    <w:p>
      <w:pPr>
        <w:pStyle w:val="FirstParagraph"/>
      </w:pPr>
      <w:r>
        <w:t xml:space="preserve">The section splits into two genres: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Policy/architecture papers</w:t>
      </w:r>
      <w:r>
        <w:t xml:space="preserve"> </w:t>
      </w:r>
      <w:r>
        <w:t xml:space="preserve">— Executive Summary → numbered</w:t>
      </w:r>
      <w:r>
        <w:t xml:space="preserve"> </w:t>
      </w:r>
      <w:r>
        <w:t xml:space="preserve">sections → Honest Limits → Conclusion. These state UIAO’s governance</w:t>
      </w:r>
      <w:r>
        <w:t xml:space="preserve"> </w:t>
      </w:r>
      <w:r>
        <w:t xml:space="preserve">doctrine and map it onto a compliance framework (ZTMM, BOD-25-01,</w:t>
      </w:r>
      <w:r>
        <w:t xml:space="preserve"> </w:t>
      </w:r>
      <w:r>
        <w:t xml:space="preserve">FedRAMP).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Narrative papers</w:t>
      </w:r>
      <w:r>
        <w:t xml:space="preserve"> </w:t>
      </w:r>
      <w:r>
        <w:t xml:space="preserve">— an</w:t>
      </w:r>
      <w:r>
        <w:t xml:space="preserve"> </w:t>
      </w:r>
      <w:r>
        <w:t xml:space="preserve">“In this whitepaper”</w:t>
      </w:r>
      <w:r>
        <w:t xml:space="preserve"> </w:t>
      </w:r>
      <w:r>
        <w:t xml:space="preserve">overview → Act/Part</w:t>
      </w:r>
      <w:r>
        <w:t xml:space="preserve"> </w:t>
      </w:r>
      <w:r>
        <w:t xml:space="preserve">structure → a canon-mapping table → Provenance. These tell an</w:t>
      </w:r>
      <w:r>
        <w:t xml:space="preserve"> </w:t>
      </w:r>
      <w:r>
        <w:t xml:space="preserve">operational or historical story and derive the doctrine from it</w:t>
      </w:r>
      <w:r>
        <w:t xml:space="preserve"> </w:t>
      </w:r>
      <w:r>
        <w:t xml:space="preserve">rather than stating it up front.</w:t>
      </w:r>
    </w:p>
    <w:p>
      <w:pPr>
        <w:pStyle w:val="FirstParagraph"/>
      </w:pPr>
      <w:r>
        <w:t xml:space="preserve">Whichever genre a paper belongs to, it opens with the same three-part</w:t>
      </w:r>
      <w:r>
        <w:t xml:space="preserve"> </w:t>
      </w:r>
      <w:r>
        <w:t xml:space="preserve">box —</w:t>
      </w:r>
      <w:r>
        <w:t xml:space="preserve"> </w:t>
      </w:r>
      <w:r>
        <w:rPr>
          <w:b/>
          <w:bCs/>
        </w:rPr>
        <w:t xml:space="preserve">Problem, solution, ask</w:t>
      </w:r>
      <w:r>
        <w:t xml:space="preserve"> </w:t>
      </w:r>
      <w:r>
        <w:t xml:space="preserve">— immediately after the title: the</w:t>
      </w:r>
      <w:r>
        <w:t xml:space="preserve"> </w:t>
      </w:r>
      <w:r>
        <w:t xml:space="preserve">problem the paper exists to resolve, the position it takes, and the</w:t>
      </w:r>
      <w:r>
        <w:t xml:space="preserve"> </w:t>
      </w:r>
      <w:r>
        <w:t xml:space="preserve">specific thing it asks the reader to do or decide. Where a paper ends in</w:t>
      </w:r>
      <w:r>
        <w:t xml:space="preserve"> </w:t>
      </w:r>
      <w:r>
        <w:t xml:space="preserve">a Call to Action, the box points at it rather than restating it. Read</w:t>
      </w:r>
      <w:r>
        <w:t xml:space="preserve"> </w:t>
      </w:r>
      <w:r>
        <w:t xml:space="preserve">the box first if you have two minutes; read the paper if the ask is</w:t>
      </w:r>
      <w:r>
        <w:t xml:space="preserve"> </w:t>
      </w:r>
      <w:r>
        <w:t xml:space="preserve">yours to act on.</w:t>
      </w:r>
    </w:p>
    <w:p>
      <w:pPr>
        <w:pStyle w:val="BodyText"/>
      </w:pPr>
      <w:r>
        <w:t xml:space="preserve">Three papers —</w:t>
      </w:r>
      <w:r>
        <w:t xml:space="preserve"> </w:t>
      </w:r>
      <w:hyperlink r:id="rId10">
        <w:r>
          <w:rPr>
            <w:rStyle w:val="VerbatimChar"/>
          </w:rPr>
          <w:t xml:space="preserve">ad-to-entraid-migration-problem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aodim-executive-whitepaper</w:t>
        </w:r>
      </w:hyperlink>
      <w:r>
        <w:t xml:space="preserve">, and</w:t>
      </w:r>
      <w:r>
        <w:t xml:space="preserve"> </w:t>
      </w:r>
      <w:hyperlink r:id="rId12">
        <w:r>
          <w:rPr>
            <w:rStyle w:val="VerbatimChar"/>
          </w:rPr>
          <w:t xml:space="preserve">uiao-vs-native-tools</w:t>
        </w:r>
      </w:hyperlink>
      <w:r>
        <w:t xml:space="preserve"> </w:t>
      </w:r>
      <w:r>
        <w:t xml:space="preserve">— predate both</w:t>
      </w:r>
      <w:r>
        <w:t xml:space="preserve"> </w:t>
      </w:r>
      <w:r>
        <w:t xml:space="preserve">genres: they’re docx imports from before the canon-anchoring convention</w:t>
      </w:r>
      <w:r>
        <w:t xml:space="preserve"> </w:t>
      </w:r>
      <w:r>
        <w:t xml:space="preserve">existed. They carry real content (the original business case for the</w:t>
      </w:r>
      <w:r>
        <w:t xml:space="preserve"> </w:t>
      </w:r>
      <w:r>
        <w:t xml:space="preserve">whole program) but are the corpus’s least structurally current papers;</w:t>
      </w:r>
      <w:r>
        <w:t xml:space="preserve"> </w:t>
      </w:r>
      <w:r>
        <w:t xml:space="preserve">read them for the argument, not as a canon-anchored reference.</w:t>
      </w:r>
    </w:p>
    <w:bookmarkEnd w:id="13"/>
    <w:bookmarkStart w:id="15" w:name="Xde4e0c21f552fe6dd559110611910da66994149"/>
    <w:p>
      <w:pPr>
        <w:pStyle w:val="Heading2"/>
      </w:pPr>
      <w:r>
        <w:t xml:space="preserve">Start here if your question is</w:t>
      </w:r>
      <w:r>
        <w:t xml:space="preserve"> </w:t>
      </w:r>
      <w:r>
        <w:t xml:space="preserve">“who does this mandate bind”</w:t>
      </w:r>
    </w:p>
    <w:p>
      <w:pPr>
        <w:pStyle w:val="FirstParagraph"/>
      </w:pPr>
      <w:hyperlink r:id="rId14">
        <w:r>
          <w:rPr>
            <w:rStyle w:val="Hyperlink"/>
          </w:rPr>
          <w:t xml:space="preserve">Federal Compliance for Moderate Agencies</w:t>
        </w:r>
      </w:hyperlink>
      <w:r>
        <w:t xml:space="preserve"> </w:t>
      </w:r>
      <w:r>
        <w:t xml:space="preserve">sits outside the six tracks below by design — it’s a short primer, not a</w:t>
      </w:r>
      <w:r>
        <w:t xml:space="preserve"> </w:t>
      </w:r>
      <w:r>
        <w:t xml:space="preserve">deep-dive, and its job is disambiguation and routing rather than argument.</w:t>
      </w:r>
      <w:r>
        <w:t xml:space="preserve"> </w:t>
      </w:r>
      <w:r>
        <w:t xml:space="preserve">If the question in front of you is</w:t>
      </w:r>
      <w:r>
        <w:t xml:space="preserve"> </w:t>
      </w:r>
      <w:r>
        <w:t xml:space="preserve">“does FedRAMP 20x apply to my agency or</w:t>
      </w:r>
      <w:r>
        <w:t xml:space="preserve"> </w:t>
      </w:r>
      <w:r>
        <w:t xml:space="preserve">to our cloud provider,”</w:t>
      </w:r>
      <w:r>
        <w:t xml:space="preserve"> </w:t>
      </w:r>
      <w:r>
        <w:t xml:space="preserve">or</w:t>
      </w:r>
      <w:r>
        <w:t xml:space="preserve"> </w:t>
      </w:r>
      <w:r>
        <w:t xml:space="preserve">“what’s actually a hard deadline versus</w:t>
      </w:r>
      <w:r>
        <w:t xml:space="preserve"> </w:t>
      </w:r>
      <w:r>
        <w:t xml:space="preserve">guidance,”</w:t>
      </w:r>
      <w:r>
        <w:t xml:space="preserve"> </w:t>
      </w:r>
      <w:r>
        <w:t xml:space="preserve">read it first; it routes into whichever track below actually</w:t>
      </w:r>
      <w:r>
        <w:t xml:space="preserve"> </w:t>
      </w:r>
      <w:r>
        <w:t xml:space="preserve">answers your follow-up question. Everyone else should skip straight to the</w:t>
      </w:r>
      <w:r>
        <w:t xml:space="preserve"> </w:t>
      </w:r>
      <w:r>
        <w:t xml:space="preserve">tracks.</w:t>
      </w:r>
    </w:p>
    <w:bookmarkEnd w:id="15"/>
    <w:bookmarkStart w:id="49" w:name="six-tracks"/>
    <w:p>
      <w:pPr>
        <w:pStyle w:val="Heading2"/>
      </w:pPr>
      <w:r>
        <w:t xml:space="preserve">Six tracks</w:t>
      </w:r>
    </w:p>
    <w:p>
      <w:pPr>
        <w:pStyle w:val="FirstParagraph"/>
      </w:pPr>
      <w:r>
        <w:t xml:space="preserve">Papers are grouped by the question they answer, not by filename.</w:t>
      </w:r>
      <w:r>
        <w:t xml:space="preserve"> </w:t>
      </w:r>
      <w:r>
        <w:t xml:space="preserve">Several papers earn a place in more than one track — that’s</w:t>
      </w:r>
      <w:r>
        <w:t xml:space="preserve"> </w:t>
      </w:r>
      <w:r>
        <w:t xml:space="preserve">cross-listed, not a mistake.</w:t>
      </w:r>
    </w:p>
    <w:bookmarkStart w:id="21" w:name="track-1-governance-foundations"/>
    <w:p>
      <w:pPr>
        <w:pStyle w:val="Heading3"/>
      </w:pPr>
      <w:r>
        <w:t xml:space="preserve">Track 1 — Governance Foundations</w:t>
      </w:r>
    </w:p>
    <w:p>
      <w:pPr>
        <w:pStyle w:val="FirstParagraph"/>
      </w:pPr>
      <w:r>
        <w:t xml:space="preserve">Start here for</w:t>
      </w:r>
      <w:r>
        <w:t xml:space="preserve"> </w:t>
      </w:r>
      <w:r>
        <w:t xml:space="preserve">“what is UIAO.”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UIAO Governance 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Flagship.</w:t>
            </w:r>
            <w:r>
              <w:t xml:space="preserve"> </w:t>
            </w:r>
            <w:r>
              <w:t xml:space="preserve">Defines the substrate, the three operating principles, the evidence chain. Everything downstream assumes this.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Zero Trust 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Maps the substrate onto CISA’s five ZTMM pillars, pillar by pillar.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Zero Trust Governance Principles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Broader and newer than the paper above — whole-agency (Network+CSP+VMware) scope, cross-cutting capabilities, the</w:t>
            </w:r>
            <w:r>
              <w:t xml:space="preserve"> </w:t>
            </w:r>
            <w:r>
              <w:t xml:space="preserve">“why programs stall below Advanced”</w:t>
            </w:r>
            <w:r>
              <w:t xml:space="preserve"> </w:t>
            </w:r>
            <w:r>
              <w:t xml:space="preserve">argument. Read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the pillar-mapping paper, not instead of it.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Zero Trust Requires Whole-Agency Scope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Companion to the paper above — the whole-agency unification argument and SCuBA/ZTA worked example, split out 2026-08-03 so the parent paper’s core argument stays finishable in one sitting. Read immediately after it, not standalone.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Modernization 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Governance framing specifically for the AD → Entra ID migration — the bridge into Track 2.</w:t>
            </w:r>
          </w:p>
        </w:tc>
      </w:tr>
    </w:tbl>
    <w:bookmarkEnd w:id="21"/>
    <w:bookmarkStart w:id="27" w:name="track-2-identity-directory-modernization"/>
    <w:p>
      <w:pPr>
        <w:pStyle w:val="Heading3"/>
      </w:pPr>
      <w:r>
        <w:t xml:space="preserve">Track 2 — Identity &amp; Directory Modernization</w:t>
      </w:r>
    </w:p>
    <w:p>
      <w:pPr>
        <w:pStyle w:val="FirstParagraph"/>
      </w:pPr>
      <w:r>
        <w:t xml:space="preserve">The AD → Entra ID arc.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AD-to-Entra ID Structural Migration Problem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rPr>
                <w:i/>
                <w:iCs/>
              </w:rPr>
              <w:t xml:space="preserve">(pre-canon import)</w:t>
            </w:r>
          </w:p>
        </w:tc>
        <w:tc>
          <w:tcPr/>
          <w:p>
            <w:pPr>
              <w:pStyle w:val="Compact"/>
            </w:pPr>
            <w:r>
              <w:t xml:space="preserve">Original statement of the structural migration problem — read for the business case.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The Session vs. Telemetry Divide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The architectural-tension argument split out of the paper above 2026-08-03 — strong enough to stand alone, was diluting the parent’s focus. Read right after it.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AODIM Executive Whitepaper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rPr>
                <w:i/>
                <w:iCs/>
              </w:rPr>
              <w:t xml:space="preserve">(pre-canon import)</w:t>
            </w:r>
          </w:p>
        </w:tc>
        <w:tc>
          <w:tcPr/>
          <w:p>
            <w:pPr>
              <w:pStyle w:val="Compact"/>
            </w:pPr>
            <w:r>
              <w:t xml:space="preserve">The attribute-oriented directory/identity model — oldest architectural core of the program.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Modernization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The mainframe→cloud arc end to end.</w:t>
            </w:r>
            <w:r>
              <w:t xml:space="preserve"> </w:t>
            </w:r>
            <w:r>
              <w:rPr>
                <w:b/>
                <w:bCs/>
              </w:rPr>
              <w:t xml:space="preserve">The argument is vendor-neutral and product-neutral</w:t>
            </w:r>
            <w:r>
              <w:t xml:space="preserve"> </w:t>
            </w:r>
            <w:r>
              <w:t xml:space="preserve">— written to hand to an audience that isn’t evaluating a platform — and a separable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closing appendix</w:t>
              </w:r>
            </w:hyperlink>
            <w:r>
              <w:t xml:space="preserve"> </w:t>
            </w:r>
            <w:r>
              <w:t xml:space="preserve">maps Act 4 to the ADRs behind it. Cross-listed as the flagship of Track 4.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Flipping 50,000 Devices to Hybrid Join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One concrete operation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arc above — governed vs. ungoverned hybrid join. Read after</w:t>
            </w:r>
            <w:r>
              <w:t xml:space="preserve"> </w:t>
            </w:r>
            <w:r>
              <w:rPr>
                <w:i/>
                <w:iCs/>
              </w:rPr>
              <w:t xml:space="preserve">Modernization Journey</w:t>
            </w:r>
            <w:r>
              <w:t xml:space="preserve">; it assumes that paper’s control-plane/data-plane framing.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Federal SSOT Alignment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Same identity-modernization event, read through the data-governance/SSOT-mandate lens instead of the architecture lens.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UIAO vs. Native Tools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rPr>
                <w:i/>
                <w:iCs/>
              </w:rPr>
              <w:t xml:space="preserve">(pre-canon import)</w:t>
            </w:r>
          </w:p>
        </w:tc>
        <w:tc>
          <w:tcPr/>
          <w:p>
            <w:pPr>
              <w:pStyle w:val="Compact"/>
            </w:pPr>
            <w:r>
              <w:t xml:space="preserve">AD assessment methodology and gap analysis against Microsoft-native tooling — also anchors Track 6.</w:t>
            </w:r>
          </w:p>
        </w:tc>
      </w:tr>
    </w:tbl>
    <w:bookmarkEnd w:id="27"/>
    <w:bookmarkStart w:id="33" w:name="X2fd0e401e7cf5bff177774dcbe2d26170372c08"/>
    <w:p>
      <w:pPr>
        <w:pStyle w:val="Heading3"/>
      </w:pPr>
      <w:r>
        <w:t xml:space="preserve">Track 3 — Zero Trust Assessment &amp; Compliance Closure</w:t>
      </w:r>
    </w:p>
    <w:p>
      <w:pPr>
        <w:pStyle w:val="FirstParagraph"/>
      </w:pPr>
      <w:r>
        <w:t xml:space="preserve">BOD-25-01 and CISA SCuBA.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Assessment Tools vs. Closing BOD-25-01 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The sequencing argument — remediate before you assess — that the rest of this track assumes. Read first in this track.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ScubaGear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How CISA’s ScubaGear assessor output feeds UIAO’s evidence pipeline.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ZTA and SCuBA — How They Relate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Disambiguates Microsoft’s Zero Trust Assessment from CISA SCuBA — read when a stakeholder asks</w:t>
            </w:r>
            <w:r>
              <w:t xml:space="preserve"> </w:t>
            </w:r>
            <w:r>
              <w:t xml:space="preserve">“aren’t these the same tool?”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Ticket-to-Machine, Not Ticket-to-Human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Closure-evidence argument across Azure/AWS/VMware + ServiceNow/SailPoint — the</w:t>
            </w:r>
            <w:r>
              <w:t xml:space="preserve"> </w:t>
            </w:r>
            <w:r>
              <w:t xml:space="preserve">“how do we know a finding is actually closed”</w:t>
            </w:r>
            <w:r>
              <w:t xml:space="preserve"> </w:t>
            </w:r>
            <w:r>
              <w:t xml:space="preserve">question this track builds toward.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Ticket-to-Machine Appendices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Code review, access-governance extension, PKI exception, and vendor landscape — split out of the paper above 2026-08-03 so its core argument stays the single-paper read its frontmatter promises. Reference only; skip unless you need that level of detail.</w:t>
            </w:r>
          </w:p>
        </w:tc>
      </w:tr>
    </w:tbl>
    <w:bookmarkEnd w:id="33"/>
    <w:bookmarkStart w:id="42" w:name="X61f4a3713009562a2d2b78c6c0291d0ec063f64"/>
    <w:p>
      <w:pPr>
        <w:pStyle w:val="Heading3"/>
      </w:pPr>
      <w:r>
        <w:t xml:space="preserve">Track 4 — Network &amp; Infrastructure Modernization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Modernization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Flagship of this track</w:t>
            </w:r>
            <w:r>
              <w:t xml:space="preserve">, cross-listed from Track 2. The forty-year mainframe-to-Zero-Trust arc, argued</w:t>
            </w:r>
            <w:r>
              <w:t xml:space="preserve"> </w:t>
            </w:r>
            <w:r>
              <w:rPr>
                <w:b/>
                <w:bCs/>
              </w:rPr>
              <w:t xml:space="preserve">vendor-neutral and product-neutral</w:t>
            </w:r>
            <w:r>
              <w:t xml:space="preserve">, with the canon trail confined to a separable closing appendix. Has this corpus’s most fully worked Call to Action, and the FedRAMP 20x Consolidated Rules timeline.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SD-WAN vs. DIA Under TIC 3.0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The transport-and-policy layer underneath this track’s Act 4 architecture. Read after the flagship’s Act 4, or standalone for a network-engineering audience.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Next Generation DNS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The DNS layer underneath the same Act 4 architecture — split-brain DNS, Universal DDI, Cisco SD-WAN interception. Sibling to the SD-WAN paper, not sequential to it.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DNS Record Types and Universal DDI Ecosystem Integrations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The record-type catalog and ecosystem-integration table split out of the paper above 2026-08-03 — bookmarkable reference, not meant to be read start to finish.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Field Office WAN Transformation and Distribution Point Consolidation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 worked capital-planning case built on the SD-WAN and TIC 3.0 arguments above, plus new content neither covers: Configuration Manager distribution-point unit economics against a proposed hardware refresh. Read after the SD-WAN paper; assumes its transport argument and the DNS paper’s INR/GCC finding rather than re-deriving either.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UIAO Git Server Interfaces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Platform deployment surface (Windows Server 2025) — narrower scope, useful once an agency has committed to a UIAO deployment rather than during the architecture-decision phase the rest of this track addresses.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2:inline>
                  <ns2:extent cx="152400" cy="152400"/>
                  <ns2:effectExtent b="0" l="0" r="0" t="0"/>
                  <ns2:docPr descr="" title="" id="40" name="Picture"/>
                  <ns3:graphic>
                    <ns3:graphicData uri="http://schemas.openxmlformats.org/drawingml/2006/picture">
                      <ns4:pic>
                        <ns4:nvPicPr>
                          <ns4:cNvPr descr="/opt/quarto/share/formats/docx/note.png" id="41" name="Picture"/>
                          <ns4:cNvPicPr>
                            <ns3:picLocks noChangeArrowheads="1" noChangeAspect="1"/>
                          </ns4:cNvPicPr>
                        </ns4:nvPicPr>
                        <ns4:blipFill>
                          <ns3:blip r:embed="rId39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52400" cy="152400"/>
                          </ns3:xfrm>
                          <ns3:prstGeom prst="rect">
                            <ns3:avLst/>
                          </ns3:prstGeom>
                          <ns3:noFill/>
                          <ns3:ln w="9525">
                            <ns3:noFill/>
                            <ns3:headEnd/>
                            <ns3:tailEnd/>
                          </ns3:ln>
                        </ns4:spPr>
                      </ns4:pic>
                    </ns3:graphicData>
                  </ns3:graphic>
                </ns2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One arc, one paper — consolidated 2026-09-09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track’s flagship and Track 2’s narrative used to be two papers telling the</w:t>
            </w:r>
            <w:r>
              <w:t xml:space="preserve"> </w:t>
            </w:r>
            <w:r>
              <w:t xml:space="preserve">same forty-year arc: an external vendor-neutral edition and an internal</w:t>
            </w:r>
            <w:r>
              <w:t xml:space="preserve"> </w:t>
            </w:r>
            <w:r>
              <w:t xml:space="preserve">canon-anchored one. Handing the wrong one to an audience was the single most</w:t>
            </w:r>
            <w:r>
              <w:t xml:space="preserve"> </w:t>
            </w:r>
            <w:r>
              <w:t xml:space="preserve">common mis-sequencing risk in this corpus, so they were merged into</w:t>
            </w:r>
            <w:r>
              <w:t xml:space="preserve"> </w:t>
            </w:r>
            <w:r>
              <w:rPr>
                <w:i/>
                <w:iCs/>
              </w:rPr>
              <w:t xml:space="preserve">Modernization Journey</w:t>
            </w:r>
            <w:r>
              <w:t xml:space="preserve">, which keeps the vendor-neutral voice. The canon trail</w:t>
            </w:r>
            <w:r>
              <w:t xml:space="preserve"> </w:t>
            </w:r>
            <w:r>
              <w:t xml:space="preserve">the other edition carried survives as that paper’s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closing appendix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placed after the Call to Action so the argument still reads end to end without</w:t>
            </w:r>
            <w:r>
              <w:t xml:space="preserve"> </w:t>
            </w:r>
            <w:r>
              <w:t xml:space="preserve">it — and so it can be dropped when the paper is handed outward. OrgComp Vol I</w:t>
            </w:r>
            <w:r>
              <w:t xml:space="preserve"> </w:t>
            </w:r>
            <w:r>
              <w:t xml:space="preserve">Book 05 tells the same arc in federal control-closure terms and names no</w:t>
            </w:r>
            <w:r>
              <w:t xml:space="preserve"> </w:t>
            </w:r>
            <w:r>
              <w:t xml:space="preserve">automation engine at all, so the appendix, not the book, is where the ADR</w:t>
            </w:r>
            <w:r>
              <w:t xml:space="preserve"> </w:t>
            </w:r>
            <w:r>
              <w:t xml:space="preserve">provenance lives.</w:t>
            </w:r>
          </w:p>
          <w:p/>
        </w:tc>
      </w:tr>
    </w:tbl>
    <w:bookmarkEnd w:id="42"/>
    <w:bookmarkStart w:id="45" w:name="X7e57782eddbf2809ffe155dd6b24cea8f99d397"/>
    <w:p>
      <w:pPr>
        <w:pStyle w:val="Heading3"/>
      </w:pPr>
      <w:r>
        <w:t xml:space="preserve">Track 5 — Federal Program-Specific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Federal HRIT Productization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Inbound HR provisioning into Entra ID under Spec 2 — a specific integration domain, not a general-purpose entry point.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Federal AI Governance — Submission Readiness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AI-system governance under M-25-21 — narrowest scope in the corpus; read only if AI-system inventory/ATO submission is the live question.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Federal SSOT Alignment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Cross-listed from Track 2 — also a data-governance-mandate alignment paper.</w:t>
            </w:r>
          </w:p>
        </w:tc>
      </w:tr>
    </w:tbl>
    <w:bookmarkEnd w:id="45"/>
    <w:bookmarkStart w:id="48" w:name="X3c87425ea02ea01b3b6c195fe1373cd00ac8a02"/>
    <w:p>
      <w:pPr>
        <w:pStyle w:val="Heading3"/>
      </w:pPr>
      <w:r>
        <w:t xml:space="preserve">Track 6 — Positioning, Comparison &amp; Vendor Reads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UIAO vs. Native Tools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rPr>
                <w:i/>
                <w:iCs/>
              </w:rPr>
              <w:t xml:space="preserve">(pre-canon import)</w:t>
            </w:r>
          </w:p>
        </w:tc>
        <w:tc>
          <w:tcPr/>
          <w:p>
            <w:pPr>
              <w:pStyle w:val="Compact"/>
            </w:pPr>
            <w:r>
              <w:t xml:space="preserve">Cross-listed from Track 2 — the build-vs-buy / gap-analysis anchor for this track.</w:t>
            </w:r>
          </w:p>
        </w:tc>
      </w:tr>
      <w:tr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OrgPath Composability Matrix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“Choose your partners”</w:t>
            </w:r>
            <w:r>
              <w:t xml:space="preserve"> </w:t>
            </w:r>
            <w:r>
              <w:t xml:space="preserve">— which OrgPath capability packs and identity/storage targets combine, à la carte. Read before either comparison paper below if the reader needs the composability model first.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Snowflake Key-Pair Conversion — the UIAO and OrgPath Reading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Illustrative-only architecture comparison (explicitly not an authorization to build) — a worked example of how OrgPath</w:t>
            </w:r>
            <w:r>
              <w:t xml:space="preserve"> </w:t>
            </w:r>
            <w:r>
              <w:rPr>
                <w:i/>
                <w:iCs/>
              </w:rPr>
              <w:t xml:space="preserve">would</w:t>
            </w:r>
            <w:r>
              <w:t xml:space="preserve"> </w:t>
            </w:r>
            <w:r>
              <w:t xml:space="preserve">apply to a platform UIAO doesn’t govern today.</w:t>
            </w:r>
          </w:p>
        </w:tc>
      </w:tr>
    </w:tbl>
    <w:bookmarkEnd w:id="48"/>
    <w:bookmarkEnd w:id="49"/>
    <w:bookmarkStart w:id="50" w:name="recommended-reading-paths"/>
    <w:p>
      <w:pPr>
        <w:pStyle w:val="Heading2"/>
      </w:pPr>
      <w:r>
        <w:t xml:space="preserve">Recommended reading paths</w:t>
      </w:r>
    </w:p>
    <w:p>
      <w:pPr>
        <w:pStyle w:val="FirstParagraph"/>
      </w:pPr>
      <w:r>
        <w:t xml:space="preserve">Pick the path that matches why the reader opened the site, not the</w:t>
      </w:r>
      <w:r>
        <w:t xml:space="preserve"> </w:t>
      </w:r>
      <w:r>
        <w:t xml:space="preserve">alphabetical file list.</w:t>
      </w:r>
    </w:p>
    <w:p>
      <w:pPr>
        <w:pStyle w:val="BodyText"/>
      </w:pPr>
      <w:r>
        <w:rPr>
          <w:b/>
          <w:bCs/>
        </w:rPr>
        <w:t xml:space="preserve">A federal CIO/CISO with 30 minutes (first exposure)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UIAO Governance OS</w:t>
        </w:r>
      </w:hyperlink>
      <w:r>
        <w:t xml:space="preserve"> </w:t>
      </w:r>
      <w:r>
        <w:t xml:space="preserve">— what the substrate is and why</w:t>
      </w:r>
      <w:r>
        <w:t xml:space="preserve"> </w:t>
      </w:r>
      <w:r>
        <w:t xml:space="preserve">“operating system,”</w:t>
      </w:r>
      <w:r>
        <w:t xml:space="preserve"> </w:t>
      </w:r>
      <w:r>
        <w:t xml:space="preserve">not</w:t>
      </w:r>
      <w:r>
        <w:t xml:space="preserve"> </w:t>
      </w:r>
      <w:r>
        <w:t xml:space="preserve">“framework.”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Modernization Journey</w:t>
        </w:r>
      </w:hyperlink>
      <w:r>
        <w:t xml:space="preserve"> </w:t>
      </w:r>
      <w:r>
        <w:t xml:space="preserve">— the compliance-deadline argument (FedRAMP 20x) and its Call to Action, written to be handed off without modification.</w:t>
      </w:r>
    </w:p>
    <w:p>
      <w:pPr>
        <w:pStyle w:val="FirstParagraph"/>
      </w:pPr>
      <w:r>
        <w:rPr>
          <w:b/>
          <w:bCs/>
        </w:rPr>
        <w:t xml:space="preserve">An assessor validating BOD-25-01 / ZTMM claims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Federal Compliance for Moderate Agencies</w:t>
        </w:r>
      </w:hyperlink>
      <w:r>
        <w:t xml:space="preserve"> </w:t>
      </w:r>
      <w:r>
        <w:t xml:space="preserve">— confirm which mandates in play actually bind the agency you’re assessing versus its vendors, before diving into any one of them.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Assessment Tools vs. Closing BOD-25-01 Findings</w:t>
        </w:r>
      </w:hyperlink>
      <w:r>
        <w:t xml:space="preserve"> </w:t>
      </w:r>
      <w:r>
        <w:t xml:space="preserve">— the sequencing argument.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ScubaGear Integration</w:t>
        </w:r>
      </w:hyperlink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ZTA and SCuBA — How They Relate</w:t>
        </w:r>
      </w:hyperlink>
      <w:r>
        <w:t xml:space="preserve"> </w:t>
      </w:r>
      <w:r>
        <w:t xml:space="preserve">— how the evidence is produced and how it differs from Microsoft’s own assessment.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Zero Trust Governance Principles</w:t>
        </w:r>
      </w:hyperlink>
      <w:r>
        <w:t xml:space="preserve"> </w:t>
      </w:r>
      <w:r>
        <w:t xml:space="preserve">— the maturity-model context for what</w:t>
      </w:r>
      <w:r>
        <w:t xml:space="preserve"> </w:t>
      </w:r>
      <w:r>
        <w:t xml:space="preserve">“closed”</w:t>
      </w:r>
      <w:r>
        <w:t xml:space="preserve"> </w:t>
      </w:r>
      <w:r>
        <w:t xml:space="preserve">is being measured against.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Ticket-to-Machine, Not Ticket-to-Human</w:t>
        </w:r>
      </w:hyperlink>
      <w:r>
        <w:t xml:space="preserve"> </w:t>
      </w:r>
      <w:r>
        <w:t xml:space="preserve">— how closure evidence is distinguished from a changed setting.</w:t>
      </w:r>
    </w:p>
    <w:p>
      <w:pPr>
        <w:pStyle w:val="FirstParagraph"/>
      </w:pPr>
      <w:r>
        <w:rPr>
          <w:b/>
          <w:bCs/>
        </w:rPr>
        <w:t xml:space="preserve">A network/infrastructure architect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Modernization Journey</w:t>
        </w:r>
      </w:hyperlink>
      <w:r>
        <w:t xml:space="preserve"> </w:t>
      </w:r>
      <w:r>
        <w:t xml:space="preserve">— the full arc and the physics argument.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SD-WAN vs. DIA Under TIC 3.0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Next Generation DNS</w:t>
        </w:r>
      </w:hyperlink>
      <w:r>
        <w:t xml:space="preserve"> </w:t>
      </w:r>
      <w:r>
        <w:t xml:space="preserve">— read in either order; both sit under Act 4 independently.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UIAO Git Server Interfaces</w:t>
        </w:r>
      </w:hyperlink>
      <w:r>
        <w:t xml:space="preserve"> </w:t>
      </w:r>
      <w:r>
        <w:t xml:space="preserve">— once a UIAO deployment is actually being planned.</w:t>
      </w:r>
    </w:p>
    <w:p>
      <w:pPr>
        <w:pStyle w:val="FirstParagraph"/>
      </w:pPr>
      <w:r>
        <w:rPr>
          <w:b/>
          <w:bCs/>
        </w:rPr>
        <w:t xml:space="preserve">An identity/directory team running an AD → Entra ID modernization</w:t>
      </w:r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</w:rPr>
          <w:t xml:space="preserve">AD-to-Entra ID Structural Migration Problem</w:t>
        </w:r>
      </w:hyperlink>
      <w:r>
        <w:t xml:space="preserve"> </w:t>
      </w:r>
      <w:r>
        <w:t xml:space="preserve">— the original problem statement.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Modernization Governance</w:t>
        </w:r>
      </w:hyperlink>
      <w:r>
        <w:t xml:space="preserve"> </w:t>
      </w:r>
      <w:r>
        <w:t xml:space="preserve">→</w:t>
      </w:r>
      <w:r>
        <w:t xml:space="preserve"> </w:t>
      </w:r>
      <w:hyperlink r:id="rId23">
        <w:r>
          <w:rPr>
            <w:rStyle w:val="Hyperlink"/>
          </w:rPr>
          <w:t xml:space="preserve">Modernization Journey</w:t>
        </w:r>
      </w:hyperlink>
      <w:r>
        <w:t xml:space="preserve"> </w:t>
      </w:r>
      <w:r>
        <w:t xml:space="preserve">— governance framing, then the full arc.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Flipping 50,000 Devices to Hybrid Join</w:t>
        </w:r>
      </w:hyperlink>
      <w:r>
        <w:t xml:space="preserve"> </w:t>
      </w:r>
      <w:r>
        <w:t xml:space="preserve">— the first concrete operation to execute inside that arc.</w:t>
      </w:r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Federal SSOT Alignment</w:t>
        </w:r>
      </w:hyperlink>
      <w:r>
        <w:t xml:space="preserve"> </w:t>
      </w:r>
      <w:r>
        <w:t xml:space="preserve">— the data-governance-mandate framing of the same event.</w:t>
      </w:r>
    </w:p>
    <w:p>
      <w:pPr>
        <w:pStyle w:val="FirstParagraph"/>
      </w:pPr>
      <w:r>
        <w:rPr>
          <w:b/>
          <w:bCs/>
        </w:rPr>
        <w:t xml:space="preserve">Someone evaluating UIAO against Microsoft-native tools or a build-vs-buy decision</w:t>
      </w:r>
    </w:p>
    <w:p>
      <w:pPr>
        <w:pStyle w:val="Compact"/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UIAO vs. Native Tools</w:t>
        </w:r>
      </w:hyperlink>
      <w:r>
        <w:t xml:space="preserve"> </w:t>
      </w:r>
      <w:r>
        <w:t xml:space="preserve">— the gap analysis.</w:t>
      </w:r>
    </w:p>
    <w:p>
      <w:pPr>
        <w:pStyle w:val="Compact"/>
        <w:numPr>
          <w:ilvl w:val="0"/>
          <w:numId w:val="1006"/>
        </w:numPr>
      </w:pPr>
      <w:hyperlink r:id="rId46">
        <w:r>
          <w:rPr>
            <w:rStyle w:val="Hyperlink"/>
          </w:rPr>
          <w:t xml:space="preserve">OrgPath Composability Matrix</w:t>
        </w:r>
      </w:hyperlink>
      <w:r>
        <w:t xml:space="preserve"> </w:t>
      </w:r>
      <w:r>
        <w:t xml:space="preserve">— what’s actually à la carte, so</w:t>
      </w:r>
      <w:r>
        <w:t xml:space="preserve"> </w:t>
      </w:r>
      <w:r>
        <w:t xml:space="preserve">“build vs. buy”</w:t>
      </w:r>
      <w:r>
        <w:t xml:space="preserve"> </w:t>
      </w:r>
      <w:r>
        <w:t xml:space="preserve">isn’t a false binary.</w:t>
      </w:r>
    </w:p>
    <w:p>
      <w:pPr>
        <w:pStyle w:val="Compact"/>
        <w:numPr>
          <w:ilvl w:val="0"/>
          <w:numId w:val="1006"/>
        </w:numPr>
      </w:pPr>
      <w:hyperlink r:id="rId47">
        <w:r>
          <w:rPr>
            <w:rStyle w:val="Hyperlink"/>
          </w:rPr>
          <w:t xml:space="preserve">Snowflake Key-Pair Conversion — the UIAO and OrgPath Reading</w:t>
        </w:r>
      </w:hyperlink>
      <w:r>
        <w:t xml:space="preserve"> </w:t>
      </w:r>
      <w:r>
        <w:t xml:space="preserve">— a worked example on a platform outside today’s boundary, useful for gauging how far the model generalizes.</w:t>
      </w:r>
    </w:p>
    <w:p>
      <w:pPr>
        <w:pStyle w:val="FirstParagraph"/>
      </w:pPr>
      <w:r>
        <w:rPr>
          <w:b/>
          <w:bCs/>
        </w:rPr>
        <w:t xml:space="preserve">Reading the whole corpus, start to finish</w:t>
      </w:r>
    </w:p>
    <w:p>
      <w:pPr>
        <w:pStyle w:val="BodyText"/>
      </w:pPr>
      <w:r>
        <w:t xml:space="preserve">Track 1 (all four) → Track 2 (all six) → Track 3 (all four) → Track 4</w:t>
      </w:r>
      <w:r>
        <w:t xml:space="preserve"> </w:t>
      </w:r>
      <w:r>
        <w:t xml:space="preserve">(all four) → Track 5 (the two papers not already read in Track 2) →</w:t>
      </w:r>
      <w:r>
        <w:t xml:space="preserve"> </w:t>
      </w:r>
      <w:r>
        <w:t xml:space="preserve">Track 6 (the two papers not already read in Track 2). This order</w:t>
      </w:r>
      <w:r>
        <w:t xml:space="preserve"> </w:t>
      </w:r>
      <w:r>
        <w:t xml:space="preserve">front-loads the doctrine (Track 1) before any domain paper assumes it,</w:t>
      </w:r>
      <w:r>
        <w:t xml:space="preserve"> </w:t>
      </w:r>
      <w:r>
        <w:t xml:space="preserve">and reads the two mainframe-to-Zero-Trust narratives back-to-back</w:t>
      </w:r>
      <w:r>
        <w:t xml:space="preserve"> </w:t>
      </w:r>
      <w:r>
        <w:t xml:space="preserve">(Track 2 then Track 4) so the vendor-neutral vs. canon-anchored</w:t>
      </w:r>
      <w:r>
        <w:t xml:space="preserve"> </w:t>
      </w:r>
      <w:r>
        <w:t xml:space="preserve">contrast is visible rather than discovered by accident months apart.</w:t>
      </w:r>
    </w:p>
    <w:bookmarkEnd w:id="50"/>
    <w:bookmarkEnd w:id="51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10" Target="https://whalermike.github.io/uiao/customer-documents/whitepapers/ad-to-entraid-migration-problem.html" TargetMode="External" /><Relationship Type="http://schemas.openxmlformats.org/officeDocument/2006/relationships/hyperlink" Id="rId11" Target="https://whalermike.github.io/uiao/customer-documents/whitepapers/aodim-executive-whitepaper.html" TargetMode="External" /><Relationship Type="http://schemas.openxmlformats.org/officeDocument/2006/relationships/hyperlink" Id="rId28" Target="https://whalermike.github.io/uiao/customer-documents/whitepapers/bod-25-01-close-before-assess.html" TargetMode="External" /><Relationship Type="http://schemas.openxmlformats.org/officeDocument/2006/relationships/hyperlink" Id="rId44" Target="https://whalermike.github.io/uiao/customer-documents/whitepapers/federal-ai-governance-submission-readiness.html" TargetMode="External" /><Relationship Type="http://schemas.openxmlformats.org/officeDocument/2006/relationships/hyperlink" Id="rId14" Target="https://whalermike.github.io/uiao/customer-documents/whitepapers/federal-compliance-for-moderate-agencies.html" TargetMode="External" /><Relationship Type="http://schemas.openxmlformats.org/officeDocument/2006/relationships/hyperlink" Id="rId43" Target="https://whalermike.github.io/uiao/customer-documents/whitepapers/federal-hrit-productization.html" TargetMode="External" /><Relationship Type="http://schemas.openxmlformats.org/officeDocument/2006/relationships/hyperlink" Id="rId26" Target="https://whalermike.github.io/uiao/customer-documents/whitepapers/federal-ssot-alignment.html" TargetMode="External" /><Relationship Type="http://schemas.openxmlformats.org/officeDocument/2006/relationships/hyperlink" Id="rId37" Target="https://whalermike.github.io/uiao/customer-documents/whitepapers/field-office-wan-transformation-dp-consolidation.html" TargetMode="External" /><Relationship Type="http://schemas.openxmlformats.org/officeDocument/2006/relationships/hyperlink" Id="rId38" Target="https://whalermike.github.io/uiao/customer-documents/whitepapers/git-server-interfaces-whitepaper.html" TargetMode="External" /><Relationship Type="http://schemas.openxmlformats.org/officeDocument/2006/relationships/hyperlink" Id="rId25" Target="https://whalermike.github.io/uiao/customer-documents/whitepapers/hybrid-join-without-governance.html" TargetMode="External" /><Relationship Type="http://schemas.openxmlformats.org/officeDocument/2006/relationships/hyperlink" Id="rId9" Target="https://whalermike.github.io/uiao/customer-documents/whitepapers/index.html" TargetMode="External" /><Relationship Type="http://schemas.openxmlformats.org/officeDocument/2006/relationships/hyperlink" Id="rId36" Target="https://whalermike.github.io/uiao/customer-documents/whitepapers/infoblox-dns-reference.html" TargetMode="External" /><Relationship Type="http://schemas.openxmlformats.org/officeDocument/2006/relationships/hyperlink" Id="rId35" Target="https://whalermike.github.io/uiao/customer-documents/whitepapers/infoblox-hybrid-dns-unified-ddi.html" TargetMode="External" /><Relationship Type="http://schemas.openxmlformats.org/officeDocument/2006/relationships/hyperlink" Id="rId20" Target="https://whalermike.github.io/uiao/customer-documents/whitepapers/modernization-governance-whitepaper.html" TargetMode="External" /><Relationship Type="http://schemas.openxmlformats.org/officeDocument/2006/relationships/hyperlink" Id="rId23" Target="https://whalermike.github.io/uiao/customer-documents/whitepapers/modernization-journey.html" TargetMode="External" /><Relationship Type="http://schemas.openxmlformats.org/officeDocument/2006/relationships/hyperlink" Id="rId24" Target="https://whalermike.github.io/uiao/customer-documents/whitepapers/modernization-journey.html#appendix-narrative-provenance-this-arc-mapped-to-uiao-canon" TargetMode="External" /><Relationship Type="http://schemas.openxmlformats.org/officeDocument/2006/relationships/hyperlink" Id="rId46" Target="https://whalermike.github.io/uiao/customer-documents/whitepapers/orgpath-composability-matrix.html" TargetMode="External" /><Relationship Type="http://schemas.openxmlformats.org/officeDocument/2006/relationships/hyperlink" Id="rId29" Target="https://whalermike.github.io/uiao/customer-documents/whitepapers/scubagear-integration-whitepaper.html" TargetMode="External" /><Relationship Type="http://schemas.openxmlformats.org/officeDocument/2006/relationships/hyperlink" Id="rId22" Target="https://whalermike.github.io/uiao/customer-documents/whitepapers/session-vs-telemetry-identity.html" TargetMode="External" /><Relationship Type="http://schemas.openxmlformats.org/officeDocument/2006/relationships/hyperlink" Id="rId47" Target="https://whalermike.github.io/uiao/customer-documents/whitepapers/snowflake-keypair-vs-uiao-orgpath.html" TargetMode="External" /><Relationship Type="http://schemas.openxmlformats.org/officeDocument/2006/relationships/hyperlink" Id="rId34" Target="https://whalermike.github.io/uiao/customer-documents/whitepapers/tic3-sdwan-vs-dia.html" TargetMode="External" /><Relationship Type="http://schemas.openxmlformats.org/officeDocument/2006/relationships/hyperlink" Id="rId32" Target="https://whalermike.github.io/uiao/customer-documents/whitepapers/ticket-to-machine-appendices.html" TargetMode="External" /><Relationship Type="http://schemas.openxmlformats.org/officeDocument/2006/relationships/hyperlink" Id="rId31" Target="https://whalermike.github.io/uiao/customer-documents/whitepapers/ticket-to-machine-not-ticket-to-human.html" TargetMode="External" /><Relationship Type="http://schemas.openxmlformats.org/officeDocument/2006/relationships/hyperlink" Id="rId16" Target="https://whalermike.github.io/uiao/customer-documents/whitepapers/uiao-governance-os-whitepaper.html" TargetMode="External" /><Relationship Type="http://schemas.openxmlformats.org/officeDocument/2006/relationships/hyperlink" Id="rId12" Target="https://whalermike.github.io/uiao/customer-documents/whitepapers/uiao-vs-native-tools.html" TargetMode="External" /><Relationship Type="http://schemas.openxmlformats.org/officeDocument/2006/relationships/hyperlink" Id="rId18" Target="https://whalermike.github.io/uiao/customer-documents/whitepapers/zero-trust-governance-principles.html" TargetMode="External" /><Relationship Type="http://schemas.openxmlformats.org/officeDocument/2006/relationships/hyperlink" Id="rId17" Target="https://whalermike.github.io/uiao/customer-documents/whitepapers/zero-trust-governance-whitepaper.html" TargetMode="External" /><Relationship Type="http://schemas.openxmlformats.org/officeDocument/2006/relationships/hyperlink" Id="rId19" Target="https://whalermike.github.io/uiao/customer-documents/whitepapers/zero-trust-whole-agency-unification.html" TargetMode="External" /><Relationship Type="http://schemas.openxmlformats.org/officeDocument/2006/relationships/hyperlink" Id="rId30" Target="https://whalermike.github.io/uiao/customer-documents/whitepapers/zta-scuba-relationship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halermike.github.io/uiao/customer-documents/whitepapers/ad-to-entraid-migration-problem.html" TargetMode="External" /><Relationship Type="http://schemas.openxmlformats.org/officeDocument/2006/relationships/hyperlink" Id="rId11" Target="https://whalermike.github.io/uiao/customer-documents/whitepapers/aodim-executive-whitepaper.html" TargetMode="External" /><Relationship Type="http://schemas.openxmlformats.org/officeDocument/2006/relationships/hyperlink" Id="rId28" Target="https://whalermike.github.io/uiao/customer-documents/whitepapers/bod-25-01-close-before-assess.html" TargetMode="External" /><Relationship Type="http://schemas.openxmlformats.org/officeDocument/2006/relationships/hyperlink" Id="rId44" Target="https://whalermike.github.io/uiao/customer-documents/whitepapers/federal-ai-governance-submission-readiness.html" TargetMode="External" /><Relationship Type="http://schemas.openxmlformats.org/officeDocument/2006/relationships/hyperlink" Id="rId14" Target="https://whalermike.github.io/uiao/customer-documents/whitepapers/federal-compliance-for-moderate-agencies.html" TargetMode="External" /><Relationship Type="http://schemas.openxmlformats.org/officeDocument/2006/relationships/hyperlink" Id="rId43" Target="https://whalermike.github.io/uiao/customer-documents/whitepapers/federal-hrit-productization.html" TargetMode="External" /><Relationship Type="http://schemas.openxmlformats.org/officeDocument/2006/relationships/hyperlink" Id="rId26" Target="https://whalermike.github.io/uiao/customer-documents/whitepapers/federal-ssot-alignment.html" TargetMode="External" /><Relationship Type="http://schemas.openxmlformats.org/officeDocument/2006/relationships/hyperlink" Id="rId37" Target="https://whalermike.github.io/uiao/customer-documents/whitepapers/field-office-wan-transformation-dp-consolidation.html" TargetMode="External" /><Relationship Type="http://schemas.openxmlformats.org/officeDocument/2006/relationships/hyperlink" Id="rId38" Target="https://whalermike.github.io/uiao/customer-documents/whitepapers/git-server-interfaces-whitepaper.html" TargetMode="External" /><Relationship Type="http://schemas.openxmlformats.org/officeDocument/2006/relationships/hyperlink" Id="rId25" Target="https://whalermike.github.io/uiao/customer-documents/whitepapers/hybrid-join-without-governance.html" TargetMode="External" /><Relationship Type="http://schemas.openxmlformats.org/officeDocument/2006/relationships/hyperlink" Id="rId9" Target="https://whalermike.github.io/uiao/customer-documents/whitepapers/index.html" TargetMode="External" /><Relationship Type="http://schemas.openxmlformats.org/officeDocument/2006/relationships/hyperlink" Id="rId36" Target="https://whalermike.github.io/uiao/customer-documents/whitepapers/infoblox-dns-reference.html" TargetMode="External" /><Relationship Type="http://schemas.openxmlformats.org/officeDocument/2006/relationships/hyperlink" Id="rId35" Target="https://whalermike.github.io/uiao/customer-documents/whitepapers/infoblox-hybrid-dns-unified-ddi.html" TargetMode="External" /><Relationship Type="http://schemas.openxmlformats.org/officeDocument/2006/relationships/hyperlink" Id="rId20" Target="https://whalermike.github.io/uiao/customer-documents/whitepapers/modernization-governance-whitepaper.html" TargetMode="External" /><Relationship Type="http://schemas.openxmlformats.org/officeDocument/2006/relationships/hyperlink" Id="rId23" Target="https://whalermike.github.io/uiao/customer-documents/whitepapers/modernization-journey.html" TargetMode="External" /><Relationship Type="http://schemas.openxmlformats.org/officeDocument/2006/relationships/hyperlink" Id="rId24" Target="https://whalermike.github.io/uiao/customer-documents/whitepapers/modernization-journey.html#appendix-narrative-provenance-this-arc-mapped-to-uiao-canon" TargetMode="External" /><Relationship Type="http://schemas.openxmlformats.org/officeDocument/2006/relationships/hyperlink" Id="rId46" Target="https://whalermike.github.io/uiao/customer-documents/whitepapers/orgpath-composability-matrix.html" TargetMode="External" /><Relationship Type="http://schemas.openxmlformats.org/officeDocument/2006/relationships/hyperlink" Id="rId29" Target="https://whalermike.github.io/uiao/customer-documents/whitepapers/scubagear-integration-whitepaper.html" TargetMode="External" /><Relationship Type="http://schemas.openxmlformats.org/officeDocument/2006/relationships/hyperlink" Id="rId22" Target="https://whalermike.github.io/uiao/customer-documents/whitepapers/session-vs-telemetry-identity.html" TargetMode="External" /><Relationship Type="http://schemas.openxmlformats.org/officeDocument/2006/relationships/hyperlink" Id="rId47" Target="https://whalermike.github.io/uiao/customer-documents/whitepapers/snowflake-keypair-vs-uiao-orgpath.html" TargetMode="External" /><Relationship Type="http://schemas.openxmlformats.org/officeDocument/2006/relationships/hyperlink" Id="rId34" Target="https://whalermike.github.io/uiao/customer-documents/whitepapers/tic3-sdwan-vs-dia.html" TargetMode="External" /><Relationship Type="http://schemas.openxmlformats.org/officeDocument/2006/relationships/hyperlink" Id="rId32" Target="https://whalermike.github.io/uiao/customer-documents/whitepapers/ticket-to-machine-appendices.html" TargetMode="External" /><Relationship Type="http://schemas.openxmlformats.org/officeDocument/2006/relationships/hyperlink" Id="rId31" Target="https://whalermike.github.io/uiao/customer-documents/whitepapers/ticket-to-machine-not-ticket-to-human.html" TargetMode="External" /><Relationship Type="http://schemas.openxmlformats.org/officeDocument/2006/relationships/hyperlink" Id="rId16" Target="https://whalermike.github.io/uiao/customer-documents/whitepapers/uiao-governance-os-whitepaper.html" TargetMode="External" /><Relationship Type="http://schemas.openxmlformats.org/officeDocument/2006/relationships/hyperlink" Id="rId12" Target="https://whalermike.github.io/uiao/customer-documents/whitepapers/uiao-vs-native-tools.html" TargetMode="External" /><Relationship Type="http://schemas.openxmlformats.org/officeDocument/2006/relationships/hyperlink" Id="rId18" Target="https://whalermike.github.io/uiao/customer-documents/whitepapers/zero-trust-governance-principles.html" TargetMode="External" /><Relationship Type="http://schemas.openxmlformats.org/officeDocument/2006/relationships/hyperlink" Id="rId17" Target="https://whalermike.github.io/uiao/customer-documents/whitepapers/zero-trust-governance-whitepaper.html" TargetMode="External" /><Relationship Type="http://schemas.openxmlformats.org/officeDocument/2006/relationships/hyperlink" Id="rId19" Target="https://whalermike.github.io/uiao/customer-documents/whitepapers/zero-trust-whole-agency-unification.html" TargetMode="External" /><Relationship Type="http://schemas.openxmlformats.org/officeDocument/2006/relationships/hyperlink" Id="rId30" Target="https://whalermike.github.io/uiao/customer-documents/whitepapers/zta-scuba-relationshi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Reading Guide</dc:title>
  <dc:creator>Michael Stratton</dc:creator>
  <cp:keywords/>
  <dcterms:created xsi:type="dcterms:W3CDTF">2026-09-16T14:53:38Z</dcterms:created>
  <dcterms:modified xsi:type="dcterms:W3CDTF">2026-09-16T14:53:38Z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Federal CIO/CISO · assessors · architects · engineers · research audience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docs/customer-documents/whitepapers/</vt:lpwstr>
  </property>
  <property fmtid="{D5CDD505-2E9C-101B-9397-08002B2CF9AE}" pid="7" name="created-at">
    <vt:lpwstr>2026-08-03</vt:lpwstr>
  </property>
  <property fmtid="{D5CDD505-2E9C-101B-9397-08002B2CF9AE}" pid="8" name="date">
    <vt:lpwstr>2026-08-01</vt:lpwstr>
  </property>
  <property fmtid="{D5CDD505-2E9C-101B-9397-08002B2CF9AE}" pid="9" name="derived-from">
    <vt:lpwstr>Synthesis of this section’s own whitepapers — their frontmatter (status, canon anchors) and content. Makes explicit a set of cross-references that do not exist in any individual paper today; carries no independent canon claims of its own.</vt:lpwstr>
  </property>
  <property fmtid="{D5CDD505-2E9C-101B-9397-08002B2CF9AE}" pid="10" name="doc-type">
    <vt:lpwstr>reference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2026-11-22</vt:lpwstr>
  </property>
  <property fmtid="{D5CDD505-2E9C-101B-9397-08002B2CF9AE}" pid="17" name="mermaid">
    <vt:lpwstr/>
  </property>
  <property fmtid="{D5CDD505-2E9C-101B-9397-08002B2CF9AE}" pid="18" name="subtitle">
    <vt:lpwstr>How the 29 papers relate, and recommended paths through them</vt:lpwstr>
  </property>
  <property fmtid="{D5CDD505-2E9C-101B-9397-08002B2CF9AE}" pid="19" name="tiers_adopted">
    <vt:lpwstr/>
  </property>
  <property fmtid="{D5CDD505-2E9C-101B-9397-08002B2CF9AE}" pid="20" name="toc-title">
    <vt:lpwstr>Table of contents</vt:lpwstr>
  </property>
  <property fmtid="{D5CDD505-2E9C-101B-9397-08002B2CF9AE}" pid="21" name="updated-at">
    <vt:lpwstr>2026-08-03</vt:lpwstr>
  </property>
  <property fmtid="{D5CDD505-2E9C-101B-9397-08002B2CF9AE}" pid="22" name="version">
    <vt:lpwstr>1.0</vt:lpwstr>
  </property>
</Properties>
</file>