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X2c49f8145f667009cc0e813e0d2e0916ec0fe39"/>
    <w:p>
      <w:pPr>
        <w:pStyle w:val="Heading1"/>
      </w:pPr>
      <w:r>
        <w:t xml:space="preserve">Unified Identity-Addressing-Overlay Architecture - Program Vision</w:t>
      </w:r>
    </w:p>
    <w:p>
      <w:pPr>
        <w:pStyle w:val="FirstParagraph"/>
      </w:pPr>
      <w:r>
        <w:t xml:space="preserve">Version: 1.0 (March 2026)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To modernize identity, network, addressing, telemetry, and security architecture using real enterprise technologies:</w:t>
      </w:r>
    </w:p>
    <w:p>
      <w:pPr>
        <w:numPr>
          <w:ilvl w:val="0"/>
          <w:numId w:val="1001"/>
        </w:numPr>
      </w:pPr>
      <w:r>
        <w:t xml:space="preserve">Microsoft Entra ID</w:t>
      </w:r>
    </w:p>
    <w:p>
      <w:pPr>
        <w:numPr>
          <w:ilvl w:val="0"/>
          <w:numId w:val="1001"/>
        </w:numPr>
      </w:pPr>
      <w:r>
        <w:t xml:space="preserve">ICAM (NIST 800-63, OMB M-19-17)</w:t>
      </w:r>
    </w:p>
    <w:p>
      <w:pPr>
        <w:numPr>
          <w:ilvl w:val="0"/>
          <w:numId w:val="1001"/>
        </w:numPr>
      </w:pPr>
      <w:r>
        <w:t xml:space="preserve">InfoBlox IPAM</w:t>
      </w:r>
    </w:p>
    <w:p>
      <w:pPr>
        <w:numPr>
          <w:ilvl w:val="0"/>
          <w:numId w:val="1001"/>
        </w:numPr>
      </w:pPr>
      <w:r>
        <w:t xml:space="preserve">Cisco Catalyst SD-WAN</w:t>
      </w:r>
    </w:p>
    <w:p>
      <w:pPr>
        <w:numPr>
          <w:ilvl w:val="0"/>
          <w:numId w:val="1001"/>
        </w:numPr>
      </w:pPr>
      <w:r>
        <w:t xml:space="preserve">Cloud Telemetry + Location Services</w:t>
      </w:r>
    </w:p>
    <w:p>
      <w:pPr>
        <w:numPr>
          <w:ilvl w:val="0"/>
          <w:numId w:val="1001"/>
        </w:numPr>
      </w:pPr>
      <w:r>
        <w:t xml:space="preserve">TIC 3.0 Cloud + Branch</w:t>
      </w:r>
    </w:p>
    <w:p>
      <w:r>
        <w:pict>
          <v:rect style="width:0;height:1.5pt" o:hralign="center" o:hrstd="t" o:hr="t"/>
        </w:pict>
      </w:r>
    </w:p>
    <w:bookmarkEnd w:id="20"/>
    <w:bookmarkStart w:id="22" w:name="vision-statement"/>
    <w:p>
      <w:pPr>
        <w:pStyle w:val="Heading2"/>
      </w:pPr>
      <w:r>
        <w:t xml:space="preserve">Vision Statement</w:t>
      </w:r>
    </w:p>
    <w:p>
      <w:pPr>
        <w:pStyle w:val="FirstParagraph"/>
      </w:pPr>
      <w:r>
        <w:t xml:space="preserve">A fully modernized, identity-driven, cloud-optimized, telemetry-rich federal network</w:t>
      </w:r>
    </w:p>
    <w:bookmarkStart w:id="21" w:name="key-capabilities"/>
    <w:p>
      <w:pPr>
        <w:pStyle w:val="Heading3"/>
      </w:pPr>
      <w:r>
        <w:t xml:space="preserve">Key Capabilities</w:t>
      </w:r>
    </w:p>
    <w:p>
      <w:pPr>
        <w:numPr>
          <w:ilvl w:val="0"/>
          <w:numId w:val="1002"/>
        </w:numPr>
      </w:pPr>
      <w:r>
        <w:t xml:space="preserve">Uses Microsoft Entra ID as Identity control plane</w:t>
      </w:r>
    </w:p>
    <w:p>
      <w:pPr>
        <w:numPr>
          <w:ilvl w:val="0"/>
          <w:numId w:val="1002"/>
        </w:numPr>
      </w:pPr>
      <w:r>
        <w:t xml:space="preserve">Uses ICAM (NIST 800-63, OMB M-19-17) as Governance backbone</w:t>
      </w:r>
    </w:p>
    <w:p>
      <w:pPr>
        <w:numPr>
          <w:ilvl w:val="0"/>
          <w:numId w:val="1002"/>
        </w:numPr>
      </w:pPr>
      <w:r>
        <w:t xml:space="preserve">Uses InfoBlox IPAM as Authoritative IPAM</w:t>
      </w:r>
    </w:p>
    <w:p>
      <w:pPr>
        <w:numPr>
          <w:ilvl w:val="0"/>
          <w:numId w:val="1002"/>
        </w:numPr>
      </w:pPr>
      <w:r>
        <w:t xml:space="preserve">Uses Cisco Catalyst SD-WAN as Routing control plane</w:t>
      </w:r>
    </w:p>
    <w:p>
      <w:pPr>
        <w:numPr>
          <w:ilvl w:val="0"/>
          <w:numId w:val="1002"/>
        </w:numPr>
      </w:pPr>
      <w:r>
        <w:t xml:space="preserve">Uses Cloud Telemetry + Location Services as Telemetry and location</w:t>
      </w:r>
    </w:p>
    <w:p>
      <w:pPr>
        <w:numPr>
          <w:ilvl w:val="0"/>
          <w:numId w:val="1002"/>
        </w:numPr>
      </w:pPr>
      <w:r>
        <w:t xml:space="preserve">Uses TIC 3.0 Cloud + Branch as Security and compliance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guiding-principles"/>
    <w:p>
      <w:pPr>
        <w:pStyle w:val="Heading2"/>
      </w:pPr>
      <w:r>
        <w:t xml:space="preserve">Guiding Principles</w:t>
      </w:r>
    </w:p>
    <w:p>
      <w:pPr>
        <w:numPr>
          <w:ilvl w:val="0"/>
          <w:numId w:val="1003"/>
        </w:numPr>
      </w:pPr>
      <w:r>
        <w:t xml:space="preserve">Zero Trust by default</w:t>
      </w:r>
    </w:p>
    <w:p>
      <w:pPr>
        <w:numPr>
          <w:ilvl w:val="0"/>
          <w:numId w:val="1003"/>
        </w:numPr>
      </w:pPr>
      <w:r>
        <w:t xml:space="preserve">Identity as the new perimeter</w:t>
      </w:r>
    </w:p>
    <w:p>
      <w:pPr>
        <w:numPr>
          <w:ilvl w:val="0"/>
          <w:numId w:val="1003"/>
        </w:numPr>
      </w:pPr>
      <w:r>
        <w:t xml:space="preserve">Telemetry as the truth source</w:t>
      </w:r>
    </w:p>
    <w:p>
      <w:pPr>
        <w:numPr>
          <w:ilvl w:val="0"/>
          <w:numId w:val="1003"/>
        </w:numPr>
      </w:pPr>
      <w:r>
        <w:t xml:space="preserve">Cloud-first routing</w:t>
      </w:r>
    </w:p>
    <w:p>
      <w:pPr>
        <w:numPr>
          <w:ilvl w:val="0"/>
          <w:numId w:val="1003"/>
        </w:numPr>
      </w:pPr>
      <w:r>
        <w:t xml:space="preserve">Incremental modernization (no big-bang)</w:t>
      </w:r>
    </w:p>
    <w:p>
      <w:pPr>
        <w:numPr>
          <w:ilvl w:val="0"/>
          <w:numId w:val="1003"/>
        </w:numPr>
      </w:pPr>
      <w:r>
        <w:t xml:space="preserve">FedRAMP-aligned controls</w:t>
      </w:r>
    </w:p>
    <w:p>
      <w:pPr>
        <w:numPr>
          <w:ilvl w:val="0"/>
          <w:numId w:val="1003"/>
        </w:numPr>
      </w:pPr>
      <w:r>
        <w:t xml:space="preserve">Modular, extensible architecture</w:t>
      </w:r>
    </w:p>
    <w:p>
      <w:r>
        <w:pict>
          <v:rect style="width:0;height:1.5pt" o:hralign="center" o:hrstd="t" o:hr="t"/>
        </w:pict>
      </w:r>
    </w:p>
    <w:bookmarkEnd w:id="23"/>
    <w:bookmarkStart w:id="24" w:name="program-outcomes"/>
    <w:p>
      <w:pPr>
        <w:pStyle w:val="Heading2"/>
      </w:pPr>
      <w:r>
        <w:t xml:space="preserve">Program Outcomes</w:t>
      </w:r>
    </w:p>
    <w:p>
      <w:pPr>
        <w:numPr>
          <w:ilvl w:val="0"/>
          <w:numId w:val="1004"/>
        </w:numPr>
      </w:pPr>
      <w:r>
        <w:t xml:space="preserve">Reduced latency and improved M365 performance</w:t>
      </w:r>
    </w:p>
    <w:p>
      <w:pPr>
        <w:numPr>
          <w:ilvl w:val="0"/>
          <w:numId w:val="1004"/>
        </w:numPr>
      </w:pPr>
      <w:r>
        <w:t xml:space="preserve">Stronger identity governance and compliance</w:t>
      </w:r>
    </w:p>
    <w:p>
      <w:pPr>
        <w:numPr>
          <w:ilvl w:val="0"/>
          <w:numId w:val="1004"/>
        </w:numPr>
      </w:pPr>
      <w:r>
        <w:t xml:space="preserve">Accurate addressing and location inference</w:t>
      </w:r>
    </w:p>
    <w:p>
      <w:pPr>
        <w:numPr>
          <w:ilvl w:val="0"/>
          <w:numId w:val="1004"/>
        </w:numPr>
      </w:pPr>
      <w:r>
        <w:t xml:space="preserve">Real-time telemetry for routing and security</w:t>
      </w:r>
    </w:p>
    <w:p>
      <w:pPr>
        <w:numPr>
          <w:ilvl w:val="0"/>
          <w:numId w:val="1004"/>
        </w:numPr>
      </w:pPr>
      <w:r>
        <w:t xml:space="preserve">TIC 3.0 compliance across cloud and branch</w:t>
      </w:r>
    </w:p>
    <w:p>
      <w:pPr>
        <w:numPr>
          <w:ilvl w:val="0"/>
          <w:numId w:val="1004"/>
        </w:numPr>
      </w:pPr>
      <w:r>
        <w:t xml:space="preserve">A unified, future-proof modernization foundation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from UIAO data layer - March 2026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2026-03-21T19:40:14Z</dcterms:created>
  <dcterms:modified xsi:type="dcterms:W3CDTF">2026-03-21T19:40:14Z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