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p>
      <w:r>
        <w:pict>
          <v:rect style="width:0;height:1.5pt" o:hralign="center" o:hrstd="t" o:hr="t"/>
        </w:pict>
      </w:r>
    </w:p>
    <w:bookmarkStart w:id="27" w:name="layer-descriptions"/>
    <w:p>
      <w:pPr>
        <w:pStyle w:val="Heading2"/>
      </w:pPr>
      <w:r>
        <w:t xml:space="preserve">Layer Descriptions</w:t>
      </w:r>
    </w:p>
    <w:bookmarkStart w:id="20" w:name="layer-7-application"/>
    <w:p>
      <w:pPr>
        <w:pStyle w:val="Heading3"/>
      </w:pPr>
      <w:r>
        <w:t xml:space="preserve">Layer 7: Application</w:t>
      </w:r>
    </w:p>
    <w:p>
      <w:pPr>
        <w:pStyle w:val="FirstParagraph"/>
      </w:pPr>
      <w:r>
        <w:t xml:space="preserve">Business logic and user interface</w:t>
      </w:r>
    </w:p>
    <w:bookmarkEnd w:id="20"/>
    <w:bookmarkStart w:id="21" w:name="layer-6-user-identity"/>
    <w:p>
      <w:pPr>
        <w:pStyle w:val="Heading3"/>
      </w:pPr>
      <w:r>
        <w:t xml:space="preserve">Layer 6: User Identity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Microsoft INR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Identity</w:t>
      </w:r>
    </w:p>
    <w:bookmarkEnd w:id="21"/>
    <w:bookmarkStart w:id="22" w:name="layer-5-security-policy"/>
    <w:p>
      <w:pPr>
        <w:pStyle w:val="Heading3"/>
      </w:pPr>
      <w:r>
        <w:t xml:space="preserve">Layer 5: Security Policy</w:t>
      </w:r>
    </w:p>
    <w:p>
      <w:pPr>
        <w:pStyle w:val="FirstParagraph"/>
      </w:pPr>
      <w:r>
        <w:t xml:space="preserve">Policy enforcement and trust boundaries</w:t>
      </w:r>
    </w:p>
    <w:bookmarkEnd w:id="22"/>
    <w:bookmarkStart w:id="23" w:name="layer-4-addressing-overlay"/>
    <w:p>
      <w:pPr>
        <w:pStyle w:val="Heading3"/>
      </w:pPr>
      <w:r>
        <w:t xml:space="preserve">Layer 4: Addressing Overlay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Infoblox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Addressing</w:t>
      </w:r>
    </w:p>
    <w:bookmarkEnd w:id="23"/>
    <w:bookmarkStart w:id="24" w:name="layer-3-unified-fabric"/>
    <w:p>
      <w:pPr>
        <w:pStyle w:val="Heading3"/>
      </w:pPr>
      <w:r>
        <w:t xml:space="preserve">Layer 3: Unified Fabric</w:t>
      </w:r>
    </w:p>
    <w:p>
      <w:pPr>
        <w:pStyle w:val="FirstParagraph"/>
      </w:pPr>
      <w:r>
        <w:rPr>
          <w:bCs/>
          <w:b/>
        </w:rPr>
        <w:t xml:space="preserve">Vendor:</w:t>
      </w:r>
      <w:r>
        <w:t xml:space="preserve"> </w:t>
      </w:r>
      <w:r>
        <w:t xml:space="preserve">Cisco Catalyst SD-WAN |</w:t>
      </w:r>
      <w:r>
        <w:t xml:space="preserve"> </w:t>
      </w:r>
      <w:r>
        <w:rPr>
          <w:bCs/>
          <w:b/>
        </w:rPr>
        <w:t xml:space="preserve">Pillar:</w:t>
      </w:r>
      <w:r>
        <w:t xml:space="preserve"> </w:t>
      </w:r>
      <w:r>
        <w:t xml:space="preserve">Overlay</w:t>
      </w:r>
    </w:p>
    <w:bookmarkEnd w:id="24"/>
    <w:bookmarkStart w:id="25" w:name="layer-2-transport-underlay"/>
    <w:p>
      <w:pPr>
        <w:pStyle w:val="Heading3"/>
      </w:pPr>
      <w:r>
        <w:t xml:space="preserve">Layer 2: Transport Underlay</w:t>
      </w:r>
    </w:p>
    <w:p>
      <w:pPr>
        <w:pStyle w:val="FirstParagraph"/>
      </w:pPr>
      <w:r>
        <w:t xml:space="preserve">Physical and Cloud ISP transport</w:t>
      </w:r>
    </w:p>
    <w:bookmarkEnd w:id="25"/>
    <w:bookmarkStart w:id="26" w:name="layer-1-physicalcloud"/>
    <w:p>
      <w:pPr>
        <w:pStyle w:val="Heading3"/>
      </w:pPr>
      <w:r>
        <w:t xml:space="preserve">Layer 1: Physical/Cloud</w:t>
      </w:r>
    </w:p>
    <w:p>
      <w:pPr>
        <w:pStyle w:val="FirstParagraph"/>
      </w:pPr>
      <w:r>
        <w:t xml:space="preserve">Hardware and Hyperscale substrates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6"/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2026-03-21T19:40:15Z</dcterms:created>
  <dcterms:modified xsi:type="dcterms:W3CDTF">2026-03-21T19:40:15Z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