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uiao-crosswalk-index"/>
    <w:p>
      <w:pPr>
        <w:pStyle w:val="Heading1"/>
      </w:pPr>
      <w:r>
        <w:t xml:space="preserve">UIAO Crosswalk Index</w:t>
      </w:r>
    </w:p>
    <w:p>
      <w:pPr>
        <w:pStyle w:val="FirstParagraph"/>
      </w:pPr>
      <w:r>
        <w:rPr>
          <w:iCs/>
          <w:i/>
        </w:rPr>
        <w:t xml:space="preserve">Unified Cross-Reference Matrix – Version 1.0 (2026-03)</w:t>
      </w:r>
    </w:p>
    <w:p>
      <w:pPr>
        <w:pStyle w:val="BodyText"/>
      </w:pPr>
      <w:r>
        <w:t xml:space="preserve">Single authoritative cross-reference matrix linking all UIAO components</w:t>
      </w:r>
    </w:p>
    <w:p>
      <w:r>
        <w:pict>
          <v:rect style="width:0;height:1.5pt" o:hralign="center" o:hrstd="t" o:hr="t"/>
        </w:pict>
      </w:r>
    </w:p>
    <w:bookmarkStart w:id="20" w:name="capabilities"/>
    <w:p>
      <w:pPr>
        <w:pStyle w:val="Heading2"/>
      </w:pPr>
      <w:r>
        <w:t xml:space="preserve">Capabilities</w:t>
      </w:r>
    </w:p>
    <w:p>
      <w:pPr>
        <w:numPr>
          <w:ilvl w:val="0"/>
          <w:numId w:val="1001"/>
        </w:numPr>
      </w:pPr>
      <w:r>
        <w:t xml:space="preserve">Traceability</w:t>
      </w:r>
    </w:p>
    <w:p>
      <w:pPr>
        <w:numPr>
          <w:ilvl w:val="0"/>
          <w:numId w:val="1001"/>
        </w:numPr>
      </w:pPr>
      <w:r>
        <w:t xml:space="preserve">Dependency mapping</w:t>
      </w:r>
    </w:p>
    <w:p>
      <w:pPr>
        <w:numPr>
          <w:ilvl w:val="0"/>
          <w:numId w:val="1001"/>
        </w:numPr>
      </w:pPr>
      <w:r>
        <w:t xml:space="preserve">Impact analysis</w:t>
      </w:r>
    </w:p>
    <w:p>
      <w:pPr>
        <w:numPr>
          <w:ilvl w:val="0"/>
          <w:numId w:val="1001"/>
        </w:numPr>
      </w:pPr>
      <w:r>
        <w:t xml:space="preserve">Canonical navigation</w:t>
      </w:r>
    </w:p>
    <w:p>
      <w:pPr>
        <w:numPr>
          <w:ilvl w:val="0"/>
          <w:numId w:val="1001"/>
        </w:numPr>
      </w:pPr>
      <w:r>
        <w:t xml:space="preserve">Future expansion</w:t>
      </w:r>
    </w:p>
    <w:p>
      <w:r>
        <w:pict>
          <v:rect style="width:0;height:1.5pt" o:hralign="center" o:hrstd="t" o:hr="t"/>
        </w:pict>
      </w:r>
    </w:p>
    <w:bookmarkEnd w:id="20"/>
    <w:bookmarkStart w:id="21" w:name="plane-crosswalk-matrix"/>
    <w:p>
      <w:pPr>
        <w:pStyle w:val="Heading2"/>
      </w:pPr>
      <w:r>
        <w:t xml:space="preserve">Plane Crosswalk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0"/>
        <w:gridCol w:w="1520"/>
        <w:gridCol w:w="1680"/>
        <w:gridCol w:w="1200"/>
        <w:gridCol w:w="120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Volumes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Modernization Appendix</w:t>
            </w:r>
          </w:p>
        </w:tc>
      </w:tr>
    </w:tbl>
    <w:p>
      <w:pPr>
        <w:pStyle w:val="BodyText"/>
      </w:pPr>
      <w:r>
        <w:rPr>
          <w:bCs/>
          <w:b/>
        </w:rPr>
        <w:t xml:space="preserve">Identity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IdentityControlPlane.md</w:t>
      </w:r>
      <w:r>
        <w:t xml:space="preserve"> </w:t>
      </w:r>
      <w:r>
        <w:t xml:space="preserve">| Identity Control Plane Architecture.png | A1_Identity_ProjectPlan.md | A-M, AA-AM | Appendix A |</w:t>
      </w:r>
    </w:p>
    <w:p>
      <w:pPr>
        <w:pStyle w:val="BodyText"/>
      </w:pPr>
      <w:r>
        <w:rPr>
          <w:bCs/>
          <w:b/>
        </w:rPr>
        <w:t xml:space="preserve">Network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NetworkControlPlane.md</w:t>
      </w:r>
      <w:r>
        <w:t xml:space="preserve"> </w:t>
      </w:r>
      <w:r>
        <w:t xml:space="preserve">| Network Control Plane.png | B1_Network_ProjectPlan.md, B1_SD-WAN_ProjectPlan.md | A-M, AN-AZ | Appendix B |</w:t>
      </w:r>
    </w:p>
    <w:p>
      <w:pPr>
        <w:pStyle w:val="BodyText"/>
      </w:pPr>
      <w:r>
        <w:rPr>
          <w:bCs/>
          <w:b/>
        </w:rPr>
        <w:t xml:space="preserve">Addressing / IPAM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AddressingControlPlane.md</w:t>
      </w:r>
      <w:r>
        <w:t xml:space="preserve"> </w:t>
      </w:r>
      <w:r>
        <w:t xml:space="preserve">| (covered within Network and Identity diagrams) | C1_Addressing_ProjectPlan.md, C1_IPAM_ProjectPlan.md | CA-CM, CN-CZ | Appendix C |</w:t>
      </w:r>
    </w:p>
    <w:p>
      <w:pPr>
        <w:pStyle w:val="BodyText"/>
      </w:pPr>
      <w:r>
        <w:rPr>
          <w:bCs/>
          <w:b/>
        </w:rPr>
        <w:t xml:space="preserve">Telemetry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TelemetryControlPlane.md</w:t>
      </w:r>
      <w:r>
        <w:t xml:space="preserve"> </w:t>
      </w:r>
      <w:r>
        <w:t xml:space="preserve">| Telemetry Signal Flow.png | D1_Telemetry_ProjectPlan.md | DA-DM, DN-DZ | Appendix D |</w:t>
      </w:r>
    </w:p>
    <w:p>
      <w:pPr>
        <w:pStyle w:val="BodyText"/>
      </w:pPr>
      <w:r>
        <w:rPr>
          <w:bCs/>
          <w:b/>
        </w:rPr>
        <w:t xml:space="preserve">Endpoint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EndpointControlPlane.md</w:t>
      </w:r>
      <w:r>
        <w:t xml:space="preserve"> </w:t>
      </w:r>
      <w:r>
        <w:t xml:space="preserve">| (covered within Five-Plane Architecture) | | EA-EM, EN-EZ | (future) |</w:t>
      </w:r>
    </w:p>
    <w:p>
      <w:pPr>
        <w:pStyle w:val="BodyText"/>
      </w:pPr>
      <w:r>
        <w:rPr>
          <w:bCs/>
          <w:b/>
        </w:rPr>
        <w:t xml:space="preserve">Security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SecurityControlPlane.md</w:t>
      </w:r>
      <w:r>
        <w:t xml:space="preserve"> </w:t>
      </w:r>
      <w:r>
        <w:t xml:space="preserve">| (implicit across all diagrams) | | N-Z | (future) |</w:t>
      </w:r>
    </w:p>
    <w:p>
      <w:pPr>
        <w:pStyle w:val="BodyText"/>
      </w:pPr>
      <w:r>
        <w:rPr>
          <w:bCs/>
          <w:b/>
        </w:rPr>
        <w:t xml:space="preserve">Unified Architecture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03_Unified_Architecture.md</w:t>
      </w:r>
      <w:r>
        <w:t xml:space="preserve"> </w:t>
      </w:r>
      <w:r>
        <w:t xml:space="preserve">| UIAO Five-Plane Architecture.png | | All | Appendix E (TIC3) |</w:t>
      </w:r>
    </w:p>
    <w:p>
      <w:r>
        <w:pict>
          <v:rect style="width:0;height:1.5pt" o:hralign="center" o:hrstd="t" o:hr="t"/>
        </w:pict>
      </w:r>
    </w:p>
    <w:bookmarkEnd w:id="21"/>
    <w:bookmarkStart w:id="29" w:name="plane-to-diagram-mapping"/>
    <w:p>
      <w:pPr>
        <w:pStyle w:val="Heading2"/>
      </w:pPr>
      <w:r>
        <w:t xml:space="preserve">Plane-to-Diagram Mapping</w:t>
      </w:r>
    </w:p>
    <w:bookmarkStart w:id="22" w:name="identity"/>
    <w:p>
      <w:pPr>
        <w:pStyle w:val="Heading3"/>
      </w:pPr>
      <w:r>
        <w:t xml:space="preserve">Identity</w:t>
      </w:r>
    </w:p>
    <w:p>
      <w:pPr>
        <w:numPr>
          <w:ilvl w:val="0"/>
          <w:numId w:val="1002"/>
        </w:numPr>
      </w:pPr>
      <w:r>
        <w:t xml:space="preserve">Identity Control Plane Architecture.png</w:t>
      </w:r>
    </w:p>
    <w:p>
      <w:pPr>
        <w:numPr>
          <w:ilvl w:val="0"/>
          <w:numId w:val="1002"/>
        </w:numPr>
      </w:pPr>
      <w:r>
        <w:t xml:space="preserve">Monitoring Domains Map.png</w:t>
      </w:r>
    </w:p>
    <w:p>
      <w:pPr>
        <w:numPr>
          <w:ilvl w:val="0"/>
          <w:numId w:val="1002"/>
        </w:numPr>
      </w:pPr>
      <w:r>
        <w:t xml:space="preserve">UIAO Five-Plane Architecture.png</w:t>
      </w:r>
    </w:p>
    <w:bookmarkEnd w:id="22"/>
    <w:bookmarkStart w:id="23" w:name="network"/>
    <w:p>
      <w:pPr>
        <w:pStyle w:val="Heading3"/>
      </w:pPr>
      <w:r>
        <w:t xml:space="preserve">Network</w:t>
      </w:r>
    </w:p>
    <w:p>
      <w:pPr>
        <w:numPr>
          <w:ilvl w:val="0"/>
          <w:numId w:val="1003"/>
        </w:numPr>
      </w:pPr>
      <w:r>
        <w:t xml:space="preserve">Network Control Plane.png</w:t>
      </w:r>
    </w:p>
    <w:p>
      <w:pPr>
        <w:numPr>
          <w:ilvl w:val="0"/>
          <w:numId w:val="1003"/>
        </w:numPr>
      </w:pPr>
      <w:r>
        <w:t xml:space="preserve">Server Operations Stack.png</w:t>
      </w:r>
    </w:p>
    <w:p>
      <w:pPr>
        <w:numPr>
          <w:ilvl w:val="0"/>
          <w:numId w:val="1003"/>
        </w:numPr>
      </w:pPr>
      <w:r>
        <w:t xml:space="preserve">UIAO Five-Plane Architecture.png</w:t>
      </w:r>
    </w:p>
    <w:bookmarkEnd w:id="23"/>
    <w:bookmarkStart w:id="24" w:name="addressing-ipam"/>
    <w:p>
      <w:pPr>
        <w:pStyle w:val="Heading3"/>
      </w:pPr>
      <w:r>
        <w:t xml:space="preserve">Addressing / IPAM</w:t>
      </w:r>
    </w:p>
    <w:p>
      <w:pPr>
        <w:numPr>
          <w:ilvl w:val="0"/>
          <w:numId w:val="1004"/>
        </w:numPr>
      </w:pPr>
      <w:r>
        <w:t xml:space="preserve">Network Control Plane.png</w:t>
      </w:r>
    </w:p>
    <w:p>
      <w:pPr>
        <w:numPr>
          <w:ilvl w:val="0"/>
          <w:numId w:val="1004"/>
        </w:numPr>
      </w:pPr>
      <w:r>
        <w:t xml:space="preserve">Identity Control Plane Architecture.png</w:t>
      </w:r>
    </w:p>
    <w:p>
      <w:pPr>
        <w:numPr>
          <w:ilvl w:val="0"/>
          <w:numId w:val="1004"/>
        </w:numPr>
      </w:pPr>
      <w:r>
        <w:t xml:space="preserve">UIAO Five-Plane Architecture.png</w:t>
      </w:r>
    </w:p>
    <w:bookmarkEnd w:id="24"/>
    <w:bookmarkStart w:id="25" w:name="telemetry"/>
    <w:p>
      <w:pPr>
        <w:pStyle w:val="Heading3"/>
      </w:pPr>
      <w:r>
        <w:t xml:space="preserve">Telemetry</w:t>
      </w:r>
    </w:p>
    <w:p>
      <w:pPr>
        <w:numPr>
          <w:ilvl w:val="0"/>
          <w:numId w:val="1005"/>
        </w:numPr>
      </w:pPr>
      <w:r>
        <w:t xml:space="preserve">Telemetry Signal Flow.png</w:t>
      </w:r>
    </w:p>
    <w:p>
      <w:pPr>
        <w:numPr>
          <w:ilvl w:val="0"/>
          <w:numId w:val="1005"/>
        </w:numPr>
      </w:pPr>
      <w:r>
        <w:t xml:space="preserve">Monitoring Domains Map.png</w:t>
      </w:r>
    </w:p>
    <w:p>
      <w:pPr>
        <w:numPr>
          <w:ilvl w:val="0"/>
          <w:numId w:val="1005"/>
        </w:numPr>
      </w:pPr>
      <w:r>
        <w:t xml:space="preserve">UIAO Five-Plane Architecture.png</w:t>
      </w:r>
    </w:p>
    <w:bookmarkEnd w:id="25"/>
    <w:bookmarkStart w:id="26" w:name="endpoint"/>
    <w:p>
      <w:pPr>
        <w:pStyle w:val="Heading3"/>
      </w:pPr>
      <w:r>
        <w:t xml:space="preserve">Endpoint</w:t>
      </w:r>
    </w:p>
    <w:p>
      <w:pPr>
        <w:numPr>
          <w:ilvl w:val="0"/>
          <w:numId w:val="1006"/>
        </w:numPr>
        <w:pStyle w:val="Compact"/>
      </w:pPr>
      <w:r>
        <w:t xml:space="preserve">UIAO Five-Plane Architecture.png</w:t>
      </w:r>
    </w:p>
    <w:bookmarkEnd w:id="26"/>
    <w:bookmarkStart w:id="27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07"/>
        </w:numPr>
      </w:pPr>
      <w:r>
        <w:t xml:space="preserve">Network Control Plane.png</w:t>
      </w:r>
    </w:p>
    <w:p>
      <w:pPr>
        <w:numPr>
          <w:ilvl w:val="0"/>
          <w:numId w:val="1007"/>
        </w:numPr>
      </w:pPr>
      <w:r>
        <w:t xml:space="preserve">Identity Control Plane Architecture.png</w:t>
      </w:r>
    </w:p>
    <w:p>
      <w:pPr>
        <w:numPr>
          <w:ilvl w:val="0"/>
          <w:numId w:val="1007"/>
        </w:numPr>
      </w:pPr>
      <w:r>
        <w:t xml:space="preserve">Telemetry Signal Flow.png</w:t>
      </w:r>
    </w:p>
    <w:p>
      <w:pPr>
        <w:numPr>
          <w:ilvl w:val="0"/>
          <w:numId w:val="1007"/>
        </w:numPr>
      </w:pPr>
      <w:r>
        <w:t xml:space="preserve">UIAO Five-Plane Architecture.png</w:t>
      </w:r>
    </w:p>
    <w:bookmarkEnd w:id="27"/>
    <w:bookmarkStart w:id="28" w:name="unified-architecture"/>
    <w:p>
      <w:pPr>
        <w:pStyle w:val="Heading3"/>
      </w:pPr>
      <w:r>
        <w:t xml:space="preserve">Unified Architecture</w:t>
      </w:r>
    </w:p>
    <w:p>
      <w:pPr>
        <w:numPr>
          <w:ilvl w:val="0"/>
          <w:numId w:val="1008"/>
        </w:numPr>
        <w:pStyle w:val="Compact"/>
      </w:pPr>
      <w:r>
        <w:t xml:space="preserve">UIAO Five-Plane Architecture.png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cross-plane-dependencies"/>
    <w:p>
      <w:pPr>
        <w:pStyle w:val="Heading2"/>
      </w:pPr>
      <w:r>
        <w:t xml:space="preserve">Cross-Plane Dependencies</w:t>
      </w:r>
    </w:p>
    <w:bookmarkStart w:id="30" w:name="identity---network"/>
    <w:p>
      <w:pPr>
        <w:pStyle w:val="Heading3"/>
      </w:pPr>
      <w:r>
        <w:t xml:space="preserve">identity &lt;-&gt; network</w:t>
      </w:r>
    </w:p>
    <w:p>
      <w:pPr>
        <w:pStyle w:val="FirstParagraph"/>
      </w:pPr>
      <w:r>
        <w:t xml:space="preserve">Identity depends on network reachability; Network depends on identity for segmentation and policy</w:t>
      </w:r>
    </w:p>
    <w:bookmarkEnd w:id="30"/>
    <w:bookmarkStart w:id="31" w:name="network---addressing"/>
    <w:p>
      <w:pPr>
        <w:pStyle w:val="Heading3"/>
      </w:pPr>
      <w:r>
        <w:t xml:space="preserve">network &lt;-&gt; addressing</w:t>
      </w:r>
    </w:p>
    <w:p>
      <w:pPr>
        <w:pStyle w:val="FirstParagraph"/>
      </w:pPr>
      <w:r>
        <w:t xml:space="preserve">Addressing is a sub-domain of network; IPAM drives routing, segmentation, and telemetry</w:t>
      </w:r>
    </w:p>
    <w:bookmarkEnd w:id="31"/>
    <w:bookmarkStart w:id="32" w:name="X3a7748dadab566815c8f1b43b877e001fc6ab31"/>
    <w:p>
      <w:pPr>
        <w:pStyle w:val="Heading3"/>
      </w:pPr>
      <w:r>
        <w:t xml:space="preserve">telemetry &lt;-&gt; identity &lt;-&gt; network &lt;-&gt; addressing &lt;-&gt; endpoint &lt;-&gt; security</w:t>
      </w:r>
    </w:p>
    <w:p>
      <w:pPr>
        <w:pStyle w:val="FirstParagraph"/>
      </w:pPr>
      <w:r>
        <w:t xml:space="preserve">Telemetry consumes signals from all planes; Telemetry informs modernization sequencing</w:t>
      </w:r>
    </w:p>
    <w:bookmarkEnd w:id="32"/>
    <w:bookmarkStart w:id="33" w:name="X264abe239e85e63094de6ec6cd939f5cc278160"/>
    <w:p>
      <w:pPr>
        <w:pStyle w:val="Heading3"/>
      </w:pPr>
      <w:r>
        <w:t xml:space="preserve">security &lt;-&gt; identity &lt;-&gt; network &lt;-&gt; addressing &lt;-&gt; telemetry &lt;-&gt; endpoint</w:t>
      </w:r>
    </w:p>
    <w:p>
      <w:pPr>
        <w:pStyle w:val="FirstParagraph"/>
      </w:pPr>
      <w:r>
        <w:t xml:space="preserve">Security overlays every plane; Security is a cross-cutting concern</w:t>
      </w:r>
    </w:p>
    <w:bookmarkEnd w:id="33"/>
    <w:bookmarkStart w:id="34" w:name="endpoint---identity---network"/>
    <w:p>
      <w:pPr>
        <w:pStyle w:val="Heading3"/>
      </w:pPr>
      <w:r>
        <w:t xml:space="preserve">endpoint &lt;-&gt; identity &lt;-&gt; network</w:t>
      </w:r>
    </w:p>
    <w:p>
      <w:pPr>
        <w:pStyle w:val="FirstParagraph"/>
      </w:pPr>
      <w:r>
        <w:t xml:space="preserve">Endpoints authenticate via identity; Endpoints connect via network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anon-expansion-rules"/>
    <w:p>
      <w:pPr>
        <w:pStyle w:val="Heading2"/>
      </w:pPr>
      <w:r>
        <w:t xml:space="preserve">Canon Expansion Rules</w:t>
      </w:r>
    </w:p>
    <w:p>
      <w:pPr>
        <w:numPr>
          <w:ilvl w:val="0"/>
          <w:numId w:val="1009"/>
        </w:numPr>
      </w:pPr>
      <w:r>
        <w:t xml:space="preserve">Every new plane must include a control plane spec, diagram, project plan, canon volume coverage, and appendix mapping</w:t>
      </w:r>
    </w:p>
    <w:p>
      <w:pPr>
        <w:numPr>
          <w:ilvl w:val="0"/>
          <w:numId w:val="1009"/>
        </w:numPr>
      </w:pPr>
      <w:r>
        <w:t xml:space="preserve">Every new diagram must be added to 02_ArchitectureDiagrams (PNG) and 03_Diagrams (DRAWIO)</w:t>
      </w:r>
    </w:p>
    <w:p>
      <w:pPr>
        <w:numPr>
          <w:ilvl w:val="0"/>
          <w:numId w:val="1009"/>
        </w:numPr>
      </w:pPr>
      <w:r>
        <w:t xml:space="preserve">Every new appendix must map to a plane, modernization track, and canon volume</w:t>
      </w:r>
    </w:p>
    <w:p>
      <w:r>
        <w:pict>
          <v:rect style="width:0;height:1.5pt" o:hralign="center" o:hrstd="t" o:hr="t"/>
        </w:pict>
      </w:r>
    </w:p>
    <w:bookmarkEnd w:id="36"/>
    <w:bookmarkStart w:id="40" w:name="directory-structure-v4.0"/>
    <w:p>
      <w:pPr>
        <w:pStyle w:val="Heading2"/>
      </w:pPr>
      <w:r>
        <w:t xml:space="preserve">Directory Structure (v4.0)</w:t>
      </w:r>
    </w:p>
    <w:bookmarkStart w:id="37" w:name="principles"/>
    <w:p>
      <w:pPr>
        <w:pStyle w:val="Heading3"/>
      </w:pPr>
      <w:r>
        <w:t xml:space="preserve">Principles</w:t>
      </w:r>
    </w:p>
    <w:p>
      <w:pPr>
        <w:numPr>
          <w:ilvl w:val="0"/>
          <w:numId w:val="1010"/>
        </w:numPr>
      </w:pPr>
      <w:r>
        <w:t xml:space="preserve">Deterministic</w:t>
      </w:r>
    </w:p>
    <w:p>
      <w:pPr>
        <w:numPr>
          <w:ilvl w:val="0"/>
          <w:numId w:val="1010"/>
        </w:numPr>
      </w:pPr>
      <w:r>
        <w:t xml:space="preserve">Plane-aligned</w:t>
      </w:r>
    </w:p>
    <w:p>
      <w:pPr>
        <w:numPr>
          <w:ilvl w:val="0"/>
          <w:numId w:val="1010"/>
        </w:numPr>
      </w:pPr>
      <w:r>
        <w:t xml:space="preserve">Canon-aligned</w:t>
      </w:r>
    </w:p>
    <w:p>
      <w:pPr>
        <w:numPr>
          <w:ilvl w:val="0"/>
          <w:numId w:val="1010"/>
        </w:numPr>
      </w:pPr>
      <w:r>
        <w:t xml:space="preserve">Future-proof</w:t>
      </w:r>
    </w:p>
    <w:p>
      <w:pPr>
        <w:numPr>
          <w:ilvl w:val="0"/>
          <w:numId w:val="1010"/>
        </w:numPr>
      </w:pPr>
      <w:r>
        <w:t xml:space="preserve">Fully modular and infinitely expandable</w:t>
      </w:r>
    </w:p>
    <w:bookmarkEnd w:id="37"/>
    <w:bookmarkStart w:id="38" w:name="directories"/>
    <w:p>
      <w:pPr>
        <w:pStyle w:val="Heading3"/>
      </w:pPr>
      <w:r>
        <w:t xml:space="preserve">Directories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00_Core</w:t>
      </w:r>
      <w:r>
        <w:t xml:space="preserve"> </w:t>
      </w:r>
      <w:r>
        <w:t xml:space="preserve">| Authoritative architectural specifications and control plane definitions |</w:t>
      </w:r>
    </w:p>
    <w:p>
      <w:pPr>
        <w:pStyle w:val="BodyText"/>
      </w:pPr>
      <w:r>
        <w:rPr>
          <w:rStyle w:val="VerbatimChar"/>
        </w:rPr>
        <w:t xml:space="preserve">01_Canon</w:t>
      </w:r>
      <w:r>
        <w:t xml:space="preserve"> </w:t>
      </w:r>
      <w:r>
        <w:t xml:space="preserve">| Publication-ready doctrine and executive-level artifacts |</w:t>
      </w:r>
    </w:p>
    <w:p>
      <w:pPr>
        <w:pStyle w:val="BodyText"/>
      </w:pPr>
      <w:r>
        <w:rPr>
          <w:rStyle w:val="VerbatimChar"/>
        </w:rPr>
        <w:t xml:space="preserve">01_ProjectPlans</w:t>
      </w:r>
      <w:r>
        <w:t xml:space="preserve"> </w:t>
      </w:r>
      <w:r>
        <w:t xml:space="preserve">| Modernization workstreams and plane-specific project plans |</w:t>
      </w:r>
    </w:p>
    <w:p>
      <w:pPr>
        <w:pStyle w:val="BodyText"/>
      </w:pPr>
      <w:r>
        <w:rPr>
          <w:rStyle w:val="VerbatimChar"/>
        </w:rPr>
        <w:t xml:space="preserve">02_Appendices</w:t>
      </w:r>
      <w:r>
        <w:t xml:space="preserve"> </w:t>
      </w:r>
      <w:r>
        <w:t xml:space="preserve">| Canonical appendices (00_Canon_Volumes) and individual expansions |</w:t>
      </w:r>
    </w:p>
    <w:p>
      <w:pPr>
        <w:pStyle w:val="BodyText"/>
      </w:pPr>
      <w:r>
        <w:rPr>
          <w:rStyle w:val="VerbatimChar"/>
        </w:rPr>
        <w:t xml:space="preserve">03_Appendices</w:t>
      </w:r>
      <w:r>
        <w:t xml:space="preserve"> </w:t>
      </w:r>
      <w:r>
        <w:t xml:space="preserve">| Modernization-specific appendices (A-E) |</w:t>
      </w:r>
    </w:p>
    <w:p>
      <w:pPr>
        <w:pStyle w:val="BodyText"/>
      </w:pPr>
      <w:r>
        <w:rPr>
          <w:rStyle w:val="VerbatimChar"/>
        </w:rPr>
        <w:t xml:space="preserve">02_ArchitectureDiagrams</w:t>
      </w:r>
      <w:r>
        <w:t xml:space="preserve"> </w:t>
      </w:r>
      <w:r>
        <w:t xml:space="preserve">| Rendered architecture diagrams (PNG) and markdown placeholders |</w:t>
      </w:r>
    </w:p>
    <w:p>
      <w:pPr>
        <w:pStyle w:val="BodyText"/>
      </w:pPr>
      <w:r>
        <w:rPr>
          <w:rStyle w:val="VerbatimChar"/>
        </w:rPr>
        <w:t xml:space="preserve">03_Diagrams</w:t>
      </w:r>
      <w:r>
        <w:t xml:space="preserve"> </w:t>
      </w:r>
      <w:r>
        <w:t xml:space="preserve">| Editable drawio source files |</w:t>
      </w:r>
    </w:p>
    <w:p>
      <w:pPr>
        <w:pStyle w:val="BodyText"/>
      </w:pPr>
      <w:r>
        <w:rPr>
          <w:rStyle w:val="VerbatimChar"/>
        </w:rPr>
        <w:t xml:space="preserve">04_Indexes</w:t>
      </w:r>
      <w:r>
        <w:t xml:space="preserve"> </w:t>
      </w:r>
      <w:r>
        <w:t xml:space="preserve">| Directory indexes, crosswalks, and repository metadata |</w:t>
      </w:r>
    </w:p>
    <w:p>
      <w:pPr>
        <w:pStyle w:val="BodyText"/>
      </w:pPr>
      <w:r>
        <w:rPr>
          <w:rStyle w:val="VerbatimChar"/>
        </w:rPr>
        <w:t xml:space="preserve">04_Templates</w:t>
      </w:r>
      <w:r>
        <w:t xml:space="preserve"> </w:t>
      </w:r>
      <w:r>
        <w:t xml:space="preserve">| Reusable templates for future volumes and documents |</w:t>
      </w:r>
    </w:p>
    <w:p>
      <w:pPr>
        <w:pStyle w:val="BodyText"/>
      </w:pPr>
      <w:r>
        <w:rPr>
          <w:rStyle w:val="VerbatimChar"/>
        </w:rPr>
        <w:t xml:space="preserve">05_Assets</w:t>
      </w:r>
      <w:r>
        <w:t xml:space="preserve"> </w:t>
      </w:r>
      <w:r>
        <w:t xml:space="preserve">| Images, diagrams, and placeholders for publication |</w:t>
      </w:r>
    </w:p>
    <w:p>
      <w:pPr>
        <w:pStyle w:val="BodyText"/>
      </w:pPr>
      <w:r>
        <w:rPr>
          <w:rStyle w:val="VerbatimChar"/>
        </w:rPr>
        <w:t xml:space="preserve">05_Reference</w:t>
      </w:r>
      <w:r>
        <w:t xml:space="preserve"> </w:t>
      </w:r>
      <w:r>
        <w:t xml:space="preserve">| External reference documents |</w:t>
      </w:r>
    </w:p>
    <w:p>
      <w:pPr>
        <w:pStyle w:val="BodyText"/>
      </w:pPr>
      <w:r>
        <w:rPr>
          <w:rStyle w:val="VerbatimChar"/>
        </w:rPr>
        <w:t xml:space="preserve">06_Drafts</w:t>
      </w:r>
      <w:r>
        <w:t xml:space="preserve"> </w:t>
      </w:r>
      <w:r>
        <w:t xml:space="preserve">| Sandbox for early drafts and experimental content |</w:t>
      </w:r>
    </w:p>
    <w:p>
      <w:pPr>
        <w:pStyle w:val="BodyText"/>
      </w:pPr>
      <w:r>
        <w:rPr>
          <w:rStyle w:val="VerbatimChar"/>
        </w:rPr>
        <w:t xml:space="preserve">OldDocs</w:t>
      </w:r>
      <w:r>
        <w:t xml:space="preserve"> </w:t>
      </w:r>
      <w:r>
        <w:t xml:space="preserve">| Full provenance archive of pre-canonical files |</w:t>
      </w:r>
    </w:p>
    <w:p>
      <w:pPr>
        <w:pStyle w:val="BodyText"/>
      </w:pPr>
      <w:r>
        <w:rPr>
          <w:rStyle w:val="VerbatimChar"/>
        </w:rPr>
        <w:t xml:space="preserve">Fix</w:t>
      </w:r>
      <w:r>
        <w:t xml:space="preserve"> </w:t>
      </w:r>
      <w:r>
        <w:t xml:space="preserve">| Reserved for repair operations and temporary staging |</w:t>
      </w:r>
    </w:p>
    <w:bookmarkEnd w:id="38"/>
    <w:bookmarkStart w:id="39" w:name="placement-rules"/>
    <w:p>
      <w:pPr>
        <w:pStyle w:val="Heading3"/>
      </w:pPr>
      <w:r>
        <w:t xml:space="preserve">Placement Rules</w:t>
      </w:r>
    </w:p>
    <w:p>
      <w:pPr>
        <w:numPr>
          <w:ilvl w:val="0"/>
          <w:numId w:val="1011"/>
        </w:numPr>
      </w:pPr>
      <w:r>
        <w:t xml:space="preserve">No files in root; all files must live in a subdirectory</w:t>
      </w:r>
    </w:p>
    <w:p>
      <w:pPr>
        <w:numPr>
          <w:ilvl w:val="0"/>
          <w:numId w:val="1011"/>
        </w:numPr>
      </w:pPr>
      <w:r>
        <w:t xml:space="preserve">Plane specs always live in 00_Core</w:t>
      </w:r>
    </w:p>
    <w:p>
      <w:pPr>
        <w:numPr>
          <w:ilvl w:val="0"/>
          <w:numId w:val="1011"/>
        </w:numPr>
      </w:pPr>
      <w:r>
        <w:t xml:space="preserve">Canon volumes always live in 01_Canon</w:t>
      </w:r>
    </w:p>
    <w:p>
      <w:pPr>
        <w:numPr>
          <w:ilvl w:val="0"/>
          <w:numId w:val="1011"/>
        </w:numPr>
      </w:pPr>
      <w:r>
        <w:t xml:space="preserve">PNG diagrams go to 02_ArchitectureDiagrams; drawio to 03_Diagrams</w:t>
      </w:r>
    </w:p>
    <w:p>
      <w:pPr>
        <w:numPr>
          <w:ilvl w:val="0"/>
          <w:numId w:val="1011"/>
        </w:numPr>
      </w:pPr>
      <w:r>
        <w:t xml:space="preserve">Canon volumes go to 02_Appendices/00_Canon_Volumes; modernization appendices to 03_Appendices</w:t>
      </w:r>
    </w:p>
    <w:p>
      <w:pPr>
        <w:numPr>
          <w:ilvl w:val="0"/>
          <w:numId w:val="1011"/>
        </w:numPr>
      </w:pPr>
      <w:r>
        <w:t xml:space="preserve">All legacy files remain in OldDocs until explicitly retired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UIAO data layer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2026-03-20T13:55:32Z</dcterms:created>
  <dcterms:modified xsi:type="dcterms:W3CDTF">2026-03-20T13:55:32Z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