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Modernization</w:t>
      </w:r>
      <w:r>
        <w:t xml:space="preserve"> </w:t>
      </w:r>
      <w:r>
        <w:t xml:space="preserve">Timeline</w:t>
      </w:r>
    </w:p>
    <w:bookmarkStart w:id="20" w:name="uiao-modernization-timeline"/>
    <w:p>
      <w:pPr>
        <w:pStyle w:val="Heading1"/>
      </w:pPr>
      <w:r>
        <w:t xml:space="preserve">UIAO Modernization Timeline</w:t>
      </w:r>
    </w:p>
    <w:p>
      <w:pPr>
        <w:pStyle w:val="FirstParagraph"/>
      </w:pPr>
      <w:r>
        <w:rPr>
          <w:bCs/>
          <w:b/>
        </w:rPr>
        <w:t xml:space="preserve">Version 1.0</w:t>
      </w:r>
    </w:p>
    <w:p>
      <w:r>
        <w:pict>
          <v:rect style="width:0;height:1.5pt" o:hralign="center" o:hrstd="t" o:hr="t"/>
        </w:pict>
      </w:r>
    </w:p>
    <w:bookmarkEnd w:id="20"/>
    <w:bookmarkStart w:id="21" w:name="modernization-drivers"/>
    <w:p>
      <w:pPr>
        <w:pStyle w:val="Heading1"/>
      </w:pPr>
      <w:r>
        <w:t xml:space="preserve">Modernization Drivers</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2" w:name="architectural-foundations"/>
    <w:p>
      <w:pPr>
        <w:pStyle w:val="Heading1"/>
      </w:pPr>
      <w:r>
        <w:t xml:space="preserve">Architectural Foundations</w:t>
      </w:r>
    </w:p>
    <w:p>
      <w:pPr>
        <w:pStyle w:val="FirstParagraph"/>
      </w:pPr>
      <w:r>
        <w:t xml:space="preserve">The Unified Identity-Addressing-Overlay Architecture (UIAO) is a modernization initiative designed to unify identity, addressing, routing, telemetry, and governance into a coherent, Zero Trust-aligned federal architecture. It integrates Microsoft Entra ID as the identity control plane, ICAM as the governance backbone, InfoBlox as the authoritative IPAM, Cisco SD-WAN as the routing control plane, and cloud-native telemetry and location services as the truth source for operational decisions. Together, these components form a coordinated modernization effort that replaces fragmented legacy systems with a cloud-optimized, identity-driven, telemetry-informed enterprise.</w:t>
      </w:r>
      <w:r>
        <w:t xml:space="preserve"> </w:t>
      </w:r>
      <w:r>
        <w:t xml:space="preserve">The strategic goal is to transform the agency into a modern federal network where identity is the perimeter, telemetry is the truth, routing is cloud-first, and governance is automated. UIAO provides the architectural foundation needed to meet Zero Trust expectations, TIC 3.0 requirements, and FedRAMP-aligned controls while improving mission performance and citizen experience.</w:t>
      </w:r>
    </w:p>
    <w:p>
      <w:r>
        <w:pict>
          <v:rect style="width:0;height:1.5pt" o:hralign="center" o:hrstd="t" o:hr="t"/>
        </w:pict>
      </w:r>
    </w:p>
    <w:bookmarkEnd w:id="22"/>
    <w:bookmarkStart w:id="28" w:name="control-plane-sequencing"/>
    <w:p>
      <w:pPr>
        <w:pStyle w:val="Heading1"/>
      </w:pPr>
      <w:r>
        <w:t xml:space="preserve">Control Plane Sequencing</w:t>
      </w:r>
    </w:p>
    <w:bookmarkStart w:id="23" w:name="phase-1-identity-control-plane"/>
    <w:p>
      <w:pPr>
        <w:pStyle w:val="Heading3"/>
      </w:pPr>
      <w:r>
        <w:t xml:space="preserve">Phase 1 —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3"/>
    <w:bookmarkStart w:id="24" w:name="phase-2-network-control-plane"/>
    <w:p>
      <w:pPr>
        <w:pStyle w:val="Heading3"/>
      </w:pPr>
      <w:r>
        <w:t xml:space="preserve">Phase 2 —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4"/>
    <w:bookmarkStart w:id="25" w:name="phase-3-addressing-control-plane"/>
    <w:p>
      <w:pPr>
        <w:pStyle w:val="Heading3"/>
      </w:pPr>
      <w:r>
        <w:t xml:space="preserve">Phase 3 —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5"/>
    <w:bookmarkStart w:id="26" w:name="phase-4-telemetry-location-control-plane"/>
    <w:p>
      <w:pPr>
        <w:pStyle w:val="Heading3"/>
      </w:pPr>
      <w:r>
        <w:t xml:space="preserve">Phase 4 —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6"/>
    <w:bookmarkStart w:id="27" w:name="phase-5-security-compliance-plane"/>
    <w:p>
      <w:pPr>
        <w:pStyle w:val="Heading3"/>
      </w:pPr>
      <w:r>
        <w:t xml:space="preserve">Phase 5 — Security &amp; Compliance Plane</w:t>
      </w:r>
    </w:p>
    <w:p>
      <w:pPr>
        <w:pStyle w:val="FirstParagraph"/>
      </w:pPr>
      <w:r>
        <w:t xml:space="preserve">The Security and Compliance Plane aligns the architecture with TIC 3.0, Zero Trust, FedRAMP 22, NIST 800-63, and ICAM governance. Security becomes embedded in the architecture rather than bolted on, with automated enforcement replacing manual review.</w:t>
      </w:r>
    </w:p>
    <w:p>
      <w:r>
        <w:pict>
          <v:rect style="width:0;height:1.5pt" o:hralign="center" o:hrstd="t" o:hr="t"/>
        </w:pict>
      </w:r>
    </w:p>
    <w:bookmarkEnd w:id="27"/>
    <w:bookmarkEnd w:id="28"/>
    <w:bookmarkStart w:id="29" w:name="expected-outcomes-by-phase"/>
    <w:p>
      <w:pPr>
        <w:pStyle w:val="Heading1"/>
      </w:pPr>
      <w:r>
        <w:t xml:space="preserve">Expected Outcomes by Phase</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22, and NIST 800-63 requirements, reducing compliance risk. Most importantly, the modernization improves citizen experience by delivering faster, more reliable, and more secure services.</w:t>
      </w:r>
    </w:p>
    <w:p>
      <w:r>
        <w:pict>
          <v:rect style="width:0;height:1.5pt" o:hralign="center" o:hrstd="t" o:hr="t"/>
        </w:pict>
      </w:r>
    </w:p>
    <w:p>
      <w:pPr>
        <w:pStyle w:val="FirstParagraph"/>
      </w:pPr>
      <w:r>
        <w:rPr>
          <w:iCs/>
          <w:i/>
        </w:rPr>
        <w:t xml:space="preserve">End of Modernization Timeline v1.0</w:t>
      </w:r>
    </w:p>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Modernization Timeline</dc:title>
  <dc:creator/>
  <cp:keywords/>
  <dcterms:created xsi:type="dcterms:W3CDTF">2026-03-20T13:55:32Z</dcterms:created>
  <dcterms:modified xsi:type="dcterms:W3CDTF">2026-03-20T13:55:32Z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