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51" w:name="Xc2d4b1872227839a4879ca90fb3df34596e6b10"/>
    <w:p>
      <w:pPr>
        <w:pStyle w:val="Heading1"/>
      </w:pPr>
      <w:r>
        <w:t xml:space="preserve">UIAO Vendor Technology Stack and Compliance Registry</w:t>
      </w:r>
    </w:p>
    <w:p>
      <w:pPr>
        <w:pStyle w:val="FirstParagraph"/>
      </w:pPr>
      <w:r>
        <w:rPr>
          <w:bCs/>
          <w:b/>
        </w:rPr>
        <w:t xml:space="preserve">Classification:</w:t>
      </w:r>
      <w:r>
        <w:t xml:space="preserve"> </w:t>
      </w:r>
      <w:r>
        <w:t xml:space="preserve">CUI/FOUO</w:t>
      </w:r>
      <w:r>
        <w:br/>
      </w:r>
      <w:r>
        <w:rPr>
          <w:bCs/>
          <w:b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Cs/>
          <w:b/>
        </w:rPr>
        <w:t xml:space="preserve">Generated:</w:t>
      </w:r>
      <w:r>
        <w:t xml:space="preserve"> </w:t>
      </w:r>
      <w:r>
        <w:t xml:space="preserve">Auto-compiled from</w:t>
      </w:r>
      <w:r>
        <w:t xml:space="preserve"> </w:t>
      </w:r>
      <w:r>
        <w:rPr>
          <w:rStyle w:val="VerbatimChar"/>
        </w:rPr>
        <w:t xml:space="preserve">data/vendor-stack.yml</w:t>
      </w:r>
    </w:p>
    <w:p>
      <w:r>
        <w:pict>
          <v:rect style="width:0;height:1.5pt" o:hralign="center" o:hrstd="t" o:hr="t"/>
        </w:pict>
      </w:r>
    </w:p>
    <w:bookmarkStart w:id="20" w:name="purpose"/>
    <w:p>
      <w:pPr>
        <w:pStyle w:val="Heading2"/>
      </w:pPr>
      <w:r>
        <w:t xml:space="preserve">1. Purpose</w:t>
      </w:r>
    </w:p>
    <w:p>
      <w:pPr>
        <w:pStyle w:val="FirstParagraph"/>
      </w:pPr>
      <w:r>
        <w:t xml:space="preserve">This document provides a comprehensive registry of the core technology vendors that comprise the UIAO architecture. It serves three critical functions within the Documentation-as-Code pipeline: it tracks each vendor’s FedRAMP authorization status, maps vendor capabilities to NIST 800-53 Rev 5 controls, and monitors compliance with active CISA directives including Binding Operational Directives and Emergency Directives.</w:t>
      </w:r>
    </w:p>
    <w:p>
      <w:pPr>
        <w:pStyle w:val="BodyText"/>
      </w:pPr>
      <w:r>
        <w:t xml:space="preserve">Unlike traditional vendor documentation maintained in static Word files or spreadsheets, this registry is machine-generated from structured YAML data stored in the repository. When a vendor releases a critical patch, updates its FedRAMP certification, or when CISA issues a new directive, a single update to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automatically regenerates this document, the FedRAMP Crosswalk, and all downstream compliance artifacts.</w:t>
      </w:r>
    </w:p>
    <w:p>
      <w:r>
        <w:pict>
          <v:rect style="width:0;height:1.5pt" o:hralign="center" o:hrstd="t" o:hr="t"/>
        </w:pict>
      </w:r>
    </w:p>
    <w:bookmarkEnd w:id="20"/>
    <w:bookmarkStart w:id="21" w:name="how-this-document-works"/>
    <w:p>
      <w:pPr>
        <w:pStyle w:val="Heading2"/>
      </w:pPr>
      <w:r>
        <w:t xml:space="preserve">2. How This Document Works</w:t>
      </w:r>
    </w:p>
    <w:p>
      <w:pPr>
        <w:pStyle w:val="FirstParagraph"/>
      </w:pPr>
      <w:r>
        <w:t xml:space="preserve">The vendor stack document is produced through the UIAO Document Compiler pipeline, which operates as follows: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Data Layer:</w:t>
      </w:r>
      <w:r>
        <w:t xml:space="preserve"> </w:t>
      </w:r>
      <w:r>
        <w:t xml:space="preserve">The structured vendor data resides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. Each vendor entry includes its product name, UIAO pillar mapping, FedRAMP certification class, required software versions, applicable NIST controls, KSI category mapping, and any active CISA directive compliance notes.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Template Layer:</w:t>
      </w:r>
      <w:r>
        <w:t xml:space="preserve"> </w:t>
      </w:r>
      <w:r>
        <w:t xml:space="preserve">This Jinja2 template (</w:t>
      </w:r>
      <w:r>
        <w:rPr>
          <w:rStyle w:val="VerbatimChar"/>
        </w:rPr>
        <w:t xml:space="preserve">templates/vendor_stack_v1.0.md.j2</w:t>
      </w:r>
      <w:r>
        <w:t xml:space="preserve">) defines the narrative structure and formatting. It uses Jinja2 loops and conditionals to iterate over the vendor entries and render them into readable Markdown.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Generation Engine: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scripts/generate_docs.py</w:t>
      </w:r>
      <w:r>
        <w:t xml:space="preserve"> </w:t>
      </w:r>
      <w:r>
        <w:t xml:space="preserve">Python script loads the canon YAML and all</w:t>
      </w:r>
      <w:r>
        <w:t xml:space="preserve"> </w:t>
      </w:r>
      <w:r>
        <w:rPr>
          <w:rStyle w:val="VerbatimChar"/>
        </w:rPr>
        <w:t xml:space="preserve">data/*.yml</w:t>
      </w:r>
      <w:r>
        <w:t xml:space="preserve"> </w:t>
      </w:r>
      <w:r>
        <w:t xml:space="preserve">files, merges them into a unified context dictionary, and passes that context to each Jinja2 template. The template engine replaces variable placeholders with actual data values.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CI/CD Pipeline:</w:t>
      </w:r>
      <w:r>
        <w:t xml:space="preserve"> </w:t>
      </w:r>
      <w:r>
        <w:t xml:space="preserve">On every push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branch, a GitHub Actions workflow (</w:t>
      </w:r>
      <w:r>
        <w:rPr>
          <w:rStyle w:val="VerbatimChar"/>
        </w:rPr>
        <w:t xml:space="preserve">.github/workflows/docs.yml</w:t>
      </w:r>
      <w:r>
        <w:t xml:space="preserve">) triggers the generation script. The output is written to both</w:t>
      </w:r>
      <w:r>
        <w:t xml:space="preserve"> </w:t>
      </w:r>
      <w:r>
        <w:rPr>
          <w:rStyle w:val="VerbatimChar"/>
        </w:rPr>
        <w:t xml:space="preserve">docs/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directories, then committed back to the repository automatically.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Website Delivery:</w:t>
      </w:r>
      <w:r>
        <w:t xml:space="preserve"> </w:t>
      </w:r>
      <w:r>
        <w:t xml:space="preserve">The GitHub Pages site at</w:t>
      </w:r>
      <w:r>
        <w:t xml:space="preserve"> </w:t>
      </w:r>
      <w:r>
        <w:rPr>
          <w:rStyle w:val="VerbatimChar"/>
        </w:rPr>
        <w:t xml:space="preserve">https://whalermike.github.io/uiao-core/</w:t>
      </w:r>
      <w:r>
        <w:t xml:space="preserve"> </w:t>
      </w:r>
      <w:r>
        <w:t xml:space="preserve">reads the generated Markdown from the</w:t>
      </w:r>
      <w:r>
        <w:t xml:space="preserve"> </w:t>
      </w:r>
      <w:r>
        <w:rPr>
          <w:rStyle w:val="VerbatimChar"/>
        </w:rPr>
        <w:t xml:space="preserve">site/</w:t>
      </w:r>
      <w:r>
        <w:t xml:space="preserve"> </w:t>
      </w:r>
      <w:r>
        <w:t xml:space="preserve">directory and renders it through the USWDS-styled Document Compiler interface, where it can be viewed inline or downloaded in Markdown, Word, PDF, or HTML formats.</w:t>
      </w:r>
    </w:p>
    <w:p>
      <w:r>
        <w:pict>
          <v:rect style="width:0;height:1.5pt" o:hralign="center" o:hrstd="t" o:hr="t"/>
        </w:pict>
      </w:r>
    </w:p>
    <w:bookmarkEnd w:id="21"/>
    <w:bookmarkStart w:id="41" w:name="core-vendor-registry"/>
    <w:p>
      <w:pPr>
        <w:pStyle w:val="Heading2"/>
      </w:pPr>
      <w:r>
        <w:t xml:space="preserve">3. Core Vendor Registry</w:t>
      </w:r>
    </w:p>
    <w:p>
      <w:pPr>
        <w:pStyle w:val="FirstParagraph"/>
      </w:pPr>
      <w:r>
        <w:t xml:space="preserve">The UIAO architecture integrates five primary technology vendors, each mapped to a specific architectural pillar. Under FedRAMP 20x (2026 Consolidated Rules), all vendors are classified using the new Class-based system, where Class C corresponds to the legacy Moderate baseline.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Provider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UIAO Pillar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FedRAMP Class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Infoblox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BloxOne Threat Defense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Addressing (A)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Catalyst SD-WAN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Entra ID + Informed Network Routing (INR)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Intune Endpoint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Device Compliance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Defender for Endpoint (MDE)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Endpoint Detection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Microsoft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Sentinel SIEM/SOAR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Security Operations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Palo Alto Networks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Next-Generation Firewall (NGFW)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Overlay (O) - Security Inspection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CyberArk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Privileged Access Management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Identity (U) - Privileged Access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ServiceNow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IT Service Management (ITSM) + GRC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Splunk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Splunk Enterprise (GovCloud)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Governance (G) - Log Analytics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Class 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Authorized</w:t>
            </w:r>
          </w:p>
        </w:tc>
      </w:tr>
    </w:tbl>
    <w:bookmarkStart w:id="23" w:name="infoblox-bloxone-threat-defense"/>
    <w:p>
      <w:pPr>
        <w:pStyle w:val="Heading3"/>
      </w:pPr>
      <w:r>
        <w:t xml:space="preserve">3.1. Infoblox — BloxOne Threat Defense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Addressing (A)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Deterministic IPAM and DNS Security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(FR1908234567)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Required Version:</w:t>
      </w:r>
      <w:r>
        <w:t xml:space="preserve"> </w:t>
      </w:r>
      <w:r>
        <w:t xml:space="preserve">NIOS 9.0.8 / BloxOne 2026.1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2"/>
        </w:numPr>
      </w:pPr>
      <w:r>
        <w:t xml:space="preserve">CM-8: System Component Inventory</w:t>
      </w:r>
    </w:p>
    <w:p>
      <w:pPr>
        <w:numPr>
          <w:ilvl w:val="0"/>
          <w:numId w:val="1002"/>
        </w:numPr>
      </w:pPr>
      <w:r>
        <w:t xml:space="preserve">SC-20: Secure Name/Address Resolution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KSI-PIY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BloxOne DDI API - Identity-to-IP Binding Logs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2">
        <w:r>
          <w:rPr>
            <w:rStyle w:val="Hyperlink"/>
          </w:rPr>
          <w:t xml:space="preserve">Infoblox Technical Docs</w:t>
        </w:r>
      </w:hyperlink>
    </w:p>
    <w:bookmarkEnd w:id="23"/>
    <w:bookmarkStart w:id="26" w:name="cisco-catalyst-sd-wan"/>
    <w:p>
      <w:pPr>
        <w:pStyle w:val="Heading3"/>
      </w:pPr>
      <w:r>
        <w:t xml:space="preserve">3.2. Cisco — Catalyst SD-WAN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Encrypted mTLS Service Chain and Fabric Transport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(FR2104567890)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  <w:r>
        <w:br/>
      </w:r>
      <w:r>
        <w:rPr>
          <w:bCs/>
          <w:b/>
        </w:rPr>
        <w:t xml:space="preserve">Minimum IOS-XE:</w:t>
      </w:r>
      <w:r>
        <w:t xml:space="preserve"> </w:t>
      </w:r>
      <w:r>
        <w:t xml:space="preserve">17.12.1a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3"/>
        </w:numPr>
      </w:pPr>
      <w:r>
        <w:t xml:space="preserve">AC-4: Information Flow Enforcement</w:t>
      </w:r>
    </w:p>
    <w:p>
      <w:pPr>
        <w:numPr>
          <w:ilvl w:val="0"/>
          <w:numId w:val="1003"/>
        </w:numPr>
      </w:pPr>
      <w:r>
        <w:t xml:space="preserve">SC-8: Transmission Confidentiality</w:t>
      </w:r>
    </w:p>
    <w:p>
      <w:pPr>
        <w:numPr>
          <w:ilvl w:val="0"/>
          <w:numId w:val="1003"/>
        </w:numPr>
      </w:pPr>
      <w:r>
        <w:t xml:space="preserve">SC-23: Session Authenticity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Catalyst SD-WAN mTLS Configuration and IPFIX Flow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ED 26-03 — CVE-2026-20127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Patched (2026-02-28)</w:t>
      </w:r>
    </w:p>
    <w:p>
      <w:pPr>
        <w:pStyle w:val="FirstParagraph"/>
      </w:pPr>
      <w:r>
        <w:rPr>
          <w:bCs/>
          <w:b/>
        </w:rPr>
        <w:t xml:space="preserve">Hardening Guide:</w:t>
      </w:r>
      <w:r>
        <w:t xml:space="preserve"> </w:t>
      </w:r>
      <w:hyperlink r:id="rId24">
        <w:r>
          <w:rPr>
            <w:rStyle w:val="Hyperlink"/>
          </w:rPr>
          <w:t xml:space="preserve">Vendor Hardening Documentation</w:t>
        </w:r>
      </w:hyperlink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5">
        <w:r>
          <w:rPr>
            <w:rStyle w:val="Hyperlink"/>
          </w:rPr>
          <w:t xml:space="preserve">Cisco Technical Docs</w:t>
        </w:r>
      </w:hyperlink>
    </w:p>
    <w:bookmarkEnd w:id="26"/>
    <w:bookmarkStart w:id="28" w:name="X0329e23a208b0f2df93b09fa9e208cf8797c2bf"/>
    <w:p>
      <w:pPr>
        <w:pStyle w:val="Heading3"/>
      </w:pPr>
      <w:r>
        <w:t xml:space="preserve">3.3. Microsoft — Entra ID + Informed Network Routing (INR)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Identity Provider and Network Telemetry Attribution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4"/>
        </w:numPr>
      </w:pPr>
      <w:r>
        <w:t xml:space="preserve">IA-2: Identification and Authentication</w:t>
      </w:r>
    </w:p>
    <w:p>
      <w:pPr>
        <w:numPr>
          <w:ilvl w:val="0"/>
          <w:numId w:val="1004"/>
        </w:numPr>
      </w:pPr>
      <w:r>
        <w:t xml:space="preserve">IA-5: Authenticator Management</w:t>
      </w:r>
    </w:p>
    <w:p>
      <w:pPr>
        <w:numPr>
          <w:ilvl w:val="0"/>
          <w:numId w:val="1004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Entra ID Conditional Access Logs and INR Telemetry Feed</w:t>
      </w:r>
    </w:p>
    <w:p>
      <w:pPr>
        <w:pStyle w:val="BodyText"/>
      </w:pPr>
      <w:r>
        <w:rPr>
          <w:bCs/>
          <w:b/>
        </w:rPr>
        <w:t xml:space="preserve">Supported Authentication Methods:</w:t>
      </w:r>
    </w:p>
    <w:p>
      <w:pPr>
        <w:numPr>
          <w:ilvl w:val="0"/>
          <w:numId w:val="1005"/>
        </w:numPr>
      </w:pPr>
      <w:r>
        <w:t xml:space="preserve">Phishing-Resistant MFA (FIDO2)</w:t>
      </w:r>
    </w:p>
    <w:p>
      <w:pPr>
        <w:numPr>
          <w:ilvl w:val="0"/>
          <w:numId w:val="1005"/>
        </w:numPr>
      </w:pPr>
      <w:r>
        <w:t xml:space="preserve">PIV/CAC Smart Card</w:t>
      </w:r>
    </w:p>
    <w:p>
      <w:pPr>
        <w:numPr>
          <w:ilvl w:val="0"/>
          <w:numId w:val="1005"/>
        </w:numPr>
      </w:pPr>
      <w:r>
        <w:t xml:space="preserve">Certificate-Based Authentication (CBA)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27">
        <w:r>
          <w:rPr>
            <w:rStyle w:val="Hyperlink"/>
          </w:rPr>
          <w:t xml:space="preserve">Microsoft Technical Docs</w:t>
        </w:r>
      </w:hyperlink>
    </w:p>
    <w:bookmarkEnd w:id="28"/>
    <w:bookmarkStart w:id="30" w:name="microsoft-intune-endpoint-management"/>
    <w:p>
      <w:pPr>
        <w:pStyle w:val="Heading3"/>
      </w:pPr>
      <w:r>
        <w:t xml:space="preserve">3.4. Microsoft — Intune Endpoint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Device Compliance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Management, Device Compliance Enforcement, and Configuration Baseline Deployment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6"/>
        </w:numPr>
      </w:pPr>
      <w:r>
        <w:t xml:space="preserve">CM-2: Baseline Configuration</w:t>
      </w:r>
    </w:p>
    <w:p>
      <w:pPr>
        <w:numPr>
          <w:ilvl w:val="0"/>
          <w:numId w:val="1006"/>
        </w:numPr>
      </w:pPr>
      <w:r>
        <w:t xml:space="preserve">CM-6: Configuration Settings</w:t>
      </w:r>
    </w:p>
    <w:p>
      <w:pPr>
        <w:numPr>
          <w:ilvl w:val="0"/>
          <w:numId w:val="1006"/>
        </w:numPr>
      </w:pPr>
      <w:r>
        <w:t xml:space="preserve">CM-8: System Component Inventory</w:t>
      </w:r>
    </w:p>
    <w:p>
      <w:pPr>
        <w:numPr>
          <w:ilvl w:val="0"/>
          <w:numId w:val="1006"/>
        </w:numPr>
      </w:pPr>
      <w:r>
        <w:t xml:space="preserve">IA-3: Device Identification and Authentication</w:t>
      </w:r>
    </w:p>
    <w:p>
      <w:pPr>
        <w:numPr>
          <w:ilvl w:val="0"/>
          <w:numId w:val="1006"/>
        </w:numPr>
      </w:pPr>
      <w:r>
        <w:t xml:space="preserve">SC-7: Boundary Protection (Device Compliance Gates)</w:t>
      </w:r>
    </w:p>
    <w:p>
      <w:pPr>
        <w:numPr>
          <w:ilvl w:val="0"/>
          <w:numId w:val="1006"/>
        </w:numPr>
      </w:pPr>
      <w:r>
        <w:t xml:space="preserve">SI-2: Flaw Remediation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Intune Compliance Policy Audit Logs and Device Configuration Profiles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29">
        <w:r>
          <w:rPr>
            <w:rStyle w:val="Hyperlink"/>
          </w:rPr>
          <w:t xml:space="preserve">Microsoft Technical Docs</w:t>
        </w:r>
      </w:hyperlink>
    </w:p>
    <w:bookmarkEnd w:id="30"/>
    <w:bookmarkStart w:id="32" w:name="microsoft-defender-for-endpoint-mde"/>
    <w:p>
      <w:pPr>
        <w:pStyle w:val="Heading3"/>
      </w:pPr>
      <w:r>
        <w:t xml:space="preserve">3.5. Microsoft — Defender for Endpoint (MDE)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Endpoint Detection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Endpoint Detection and Response, Threat Intelligence, and Automated Investigation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7"/>
        </w:numPr>
      </w:pPr>
      <w:r>
        <w:t xml:space="preserve">SI-3: Malicious Code Protection</w:t>
      </w:r>
    </w:p>
    <w:p>
      <w:pPr>
        <w:numPr>
          <w:ilvl w:val="0"/>
          <w:numId w:val="1007"/>
        </w:numPr>
      </w:pPr>
      <w:r>
        <w:t xml:space="preserve">SI-4: System Monitoring</w:t>
      </w:r>
    </w:p>
    <w:p>
      <w:pPr>
        <w:numPr>
          <w:ilvl w:val="0"/>
          <w:numId w:val="1007"/>
        </w:numPr>
      </w:pPr>
      <w:r>
        <w:t xml:space="preserve">IR-4: Incident Handling</w:t>
      </w:r>
    </w:p>
    <w:p>
      <w:pPr>
        <w:numPr>
          <w:ilvl w:val="0"/>
          <w:numId w:val="1007"/>
        </w:numPr>
      </w:pPr>
      <w:r>
        <w:t xml:space="preserve">IR-5: Incident Monitoring</w:t>
      </w:r>
    </w:p>
    <w:p>
      <w:pPr>
        <w:numPr>
          <w:ilvl w:val="0"/>
          <w:numId w:val="1007"/>
        </w:numPr>
      </w:pPr>
      <w:r>
        <w:t xml:space="preserve">RA-5: Vulnerability Monitoring and Scanning</w:t>
      </w:r>
    </w:p>
    <w:p>
      <w:pPr>
        <w:numPr>
          <w:ilvl w:val="0"/>
          <w:numId w:val="1007"/>
        </w:numPr>
      </w:pPr>
      <w:r>
        <w:t xml:space="preserve">SC-7: Boundary Protection (Host-Based)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MDE Advanced Hunting Logs and Automated Investigation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1">
        <w:r>
          <w:rPr>
            <w:rStyle w:val="Hyperlink"/>
          </w:rPr>
          <w:t xml:space="preserve">Microsoft Technical Docs</w:t>
        </w:r>
      </w:hyperlink>
    </w:p>
    <w:bookmarkEnd w:id="32"/>
    <w:bookmarkStart w:id="34" w:name="microsoft-sentinel-siemsoar"/>
    <w:p>
      <w:pPr>
        <w:pStyle w:val="Heading3"/>
      </w:pPr>
      <w:r>
        <w:t xml:space="preserve">3.6. Microsoft — Sentinel SIEM/SOAR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Security Operations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Cloud-Native SIEM, Security Orchestration, Automated Response, and Continuous Monitoring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(FR1612345678)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8"/>
        </w:numPr>
      </w:pPr>
      <w:r>
        <w:t xml:space="preserve">AU-6: Audit Record Review, Analysis, and Reporting</w:t>
      </w:r>
    </w:p>
    <w:p>
      <w:pPr>
        <w:numPr>
          <w:ilvl w:val="0"/>
          <w:numId w:val="1008"/>
        </w:numPr>
      </w:pPr>
      <w:r>
        <w:t xml:space="preserve">AU-12: Audit Record Generation</w:t>
      </w:r>
    </w:p>
    <w:p>
      <w:pPr>
        <w:numPr>
          <w:ilvl w:val="0"/>
          <w:numId w:val="1008"/>
        </w:numPr>
      </w:pPr>
      <w:r>
        <w:t xml:space="preserve">SI-4: System Monitoring</w:t>
      </w:r>
    </w:p>
    <w:p>
      <w:pPr>
        <w:numPr>
          <w:ilvl w:val="0"/>
          <w:numId w:val="1008"/>
        </w:numPr>
      </w:pPr>
      <w:r>
        <w:t xml:space="preserve">IR-4: Incident Handling</w:t>
      </w:r>
    </w:p>
    <w:p>
      <w:pPr>
        <w:numPr>
          <w:ilvl w:val="0"/>
          <w:numId w:val="1008"/>
        </w:numPr>
      </w:pPr>
      <w:r>
        <w:t xml:space="preserve">IR-5: Incident Monitoring</w:t>
      </w:r>
    </w:p>
    <w:p>
      <w:pPr>
        <w:numPr>
          <w:ilvl w:val="0"/>
          <w:numId w:val="1008"/>
        </w:numPr>
      </w:pPr>
      <w:r>
        <w:t xml:space="preserve">IR-6: Incident Reporting</w:t>
      </w:r>
    </w:p>
    <w:p>
      <w:pPr>
        <w:numPr>
          <w:ilvl w:val="0"/>
          <w:numId w:val="1008"/>
        </w:numPr>
      </w:pPr>
      <w:r>
        <w:t xml:space="preserve">CA-7: Continuous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Sentinel Analytics Rules, Incident Logs, and Playbook Execution Audit Trail</w:t>
      </w:r>
    </w:p>
    <w:p>
      <w:pPr>
        <w:pStyle w:val="BodyText"/>
      </w:pPr>
      <w:r>
        <w:rPr>
          <w:bCs/>
          <w:b/>
        </w:rPr>
        <w:t xml:space="preserve">Documentation:</w:t>
      </w:r>
      <w:r>
        <w:t xml:space="preserve"> </w:t>
      </w:r>
      <w:hyperlink r:id="rId33">
        <w:r>
          <w:rPr>
            <w:rStyle w:val="Hyperlink"/>
          </w:rPr>
          <w:t xml:space="preserve">Microsoft Technical Docs</w:t>
        </w:r>
      </w:hyperlink>
    </w:p>
    <w:bookmarkEnd w:id="34"/>
    <w:bookmarkStart w:id="35" w:name="X883c33a0d5ecdacc701708522349e1b0f5e7fa3"/>
    <w:p>
      <w:pPr>
        <w:pStyle w:val="Heading3"/>
      </w:pPr>
      <w:r>
        <w:t xml:space="preserve">3.7. Palo Alto Networks — Next-Generation Firewall (NGFW)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Overlay (O) - Security Inspection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Deep Packet Inspection within SD-WAN Service Chain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(FR1905678901)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09"/>
        </w:numPr>
      </w:pPr>
      <w:r>
        <w:t xml:space="preserve">SC-7: Boundary Protection</w:t>
      </w:r>
    </w:p>
    <w:p>
      <w:pPr>
        <w:numPr>
          <w:ilvl w:val="0"/>
          <w:numId w:val="1009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KSI-SVC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NGFW Threat Prevention Logs via Panorama API</w:t>
      </w:r>
    </w:p>
    <w:bookmarkEnd w:id="35"/>
    <w:bookmarkStart w:id="36" w:name="cyberark-privileged-access-management"/>
    <w:p>
      <w:pPr>
        <w:pStyle w:val="Heading3"/>
      </w:pPr>
      <w:r>
        <w:t xml:space="preserve">3.8. CyberArk — Privileged Access Management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Identity (U) - Privileged Access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Privileged Identity Lifecycle and Session Recording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0"/>
        </w:numPr>
      </w:pPr>
      <w:r>
        <w:t xml:space="preserve">AC-6: Least Privilege</w:t>
      </w:r>
    </w:p>
    <w:p>
      <w:pPr>
        <w:numPr>
          <w:ilvl w:val="0"/>
          <w:numId w:val="1010"/>
        </w:numPr>
      </w:pPr>
      <w:r>
        <w:t xml:space="preserve">AU-10: Non-Repudiation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KSI-IAM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CyberArk Session Audit Logs</w:t>
      </w:r>
    </w:p>
    <w:bookmarkEnd w:id="36"/>
    <w:bookmarkStart w:id="38" w:name="Xcef656a56f525c8ad5ae16e5517b3f9b5f7e800"/>
    <w:p>
      <w:pPr>
        <w:pStyle w:val="Heading3"/>
      </w:pPr>
      <w:r>
        <w:t xml:space="preserve">3.9. ServiceNow — IT Service Management (ITSM) + GRC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IT Service Management, Incident Response, and Continuous Authorization Support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(FR1710155498)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1"/>
        </w:numPr>
      </w:pPr>
      <w:r>
        <w:t xml:space="preserve">IR-4: Incident Handling</w:t>
      </w:r>
    </w:p>
    <w:p>
      <w:pPr>
        <w:numPr>
          <w:ilvl w:val="0"/>
          <w:numId w:val="1011"/>
        </w:numPr>
      </w:pPr>
      <w:r>
        <w:t xml:space="preserve">IR-5: Incident Monitoring</w:t>
      </w:r>
    </w:p>
    <w:p>
      <w:pPr>
        <w:numPr>
          <w:ilvl w:val="0"/>
          <w:numId w:val="1011"/>
        </w:numPr>
      </w:pPr>
      <w:r>
        <w:t xml:space="preserve">IR-6: Incident Reporting</w:t>
      </w:r>
    </w:p>
    <w:p>
      <w:pPr>
        <w:numPr>
          <w:ilvl w:val="0"/>
          <w:numId w:val="1011"/>
        </w:numPr>
      </w:pPr>
      <w:r>
        <w:t xml:space="preserve">SI-4: System Monitoring</w:t>
      </w:r>
    </w:p>
    <w:p>
      <w:pPr>
        <w:numPr>
          <w:ilvl w:val="0"/>
          <w:numId w:val="1011"/>
        </w:numPr>
      </w:pPr>
      <w:r>
        <w:t xml:space="preserve">CA-7: Continuous Monitoring</w:t>
      </w:r>
    </w:p>
    <w:p>
      <w:pPr>
        <w:numPr>
          <w:ilvl w:val="0"/>
          <w:numId w:val="1011"/>
        </w:numPr>
      </w:pPr>
      <w:r>
        <w:t xml:space="preserve">SA-9: External System Services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ServiceNow CMDB + Incident/Change Audit Trail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7">
        <w:r>
          <w:rPr>
            <w:rStyle w:val="Hyperlink"/>
          </w:rPr>
          <w:t xml:space="preserve">ServiceNow Technical Docs</w:t>
        </w:r>
      </w:hyperlink>
    </w:p>
    <w:bookmarkEnd w:id="38"/>
    <w:bookmarkStart w:id="40" w:name="splunk-splunk-enterprise-govcloud"/>
    <w:p>
      <w:pPr>
        <w:pStyle w:val="Heading3"/>
      </w:pPr>
      <w:r>
        <w:t xml:space="preserve">3.10. Splunk — Splunk Enterprise (GovCloud)</w:t>
      </w:r>
    </w:p>
    <w:p>
      <w:pPr>
        <w:pStyle w:val="FirstParagraph"/>
      </w:pPr>
      <w:r>
        <w:rPr>
          <w:bCs/>
          <w:b/>
        </w:rPr>
        <w:t xml:space="preserve">UIAO Pillar:</w:t>
      </w:r>
      <w:r>
        <w:t xml:space="preserve"> </w:t>
      </w:r>
      <w:r>
        <w:t xml:space="preserve">Governance (G) - Log Analytics</w:t>
      </w:r>
      <w:r>
        <w:br/>
      </w:r>
      <w:r>
        <w:rPr>
          <w:bCs/>
          <w:b/>
        </w:rPr>
        <w:t xml:space="preserve">Role:</w:t>
      </w:r>
      <w:r>
        <w:t xml:space="preserve"> </w:t>
      </w:r>
      <w:r>
        <w:t xml:space="preserve">Operational Log Aggregation, Search Analytics, and Compliance Reporting</w:t>
      </w:r>
      <w:r>
        <w:br/>
      </w:r>
      <w:r>
        <w:rPr>
          <w:bCs/>
          <w:b/>
        </w:rPr>
        <w:t xml:space="preserve">FedRAMP Certification:</w:t>
      </w:r>
      <w:r>
        <w:t xml:space="preserve"> </w:t>
      </w:r>
      <w:r>
        <w:t xml:space="preserve">Class C (FR2009876543)</w:t>
      </w:r>
      <w:r>
        <w:br/>
      </w:r>
      <w:r>
        <w:rPr>
          <w:bCs/>
          <w:b/>
        </w:rPr>
        <w:t xml:space="preserve">Authorization Status:</w:t>
      </w:r>
      <w:r>
        <w:t xml:space="preserve"> </w:t>
      </w:r>
      <w:r>
        <w:t xml:space="preserve">Authorized</w:t>
      </w:r>
    </w:p>
    <w:p>
      <w:pPr>
        <w:pStyle w:val="BodyText"/>
      </w:pPr>
      <w:r>
        <w:rPr>
          <w:bCs/>
          <w:b/>
        </w:rPr>
        <w:t xml:space="preserve">NIST 800-53 Controls:</w:t>
      </w:r>
    </w:p>
    <w:p>
      <w:pPr>
        <w:numPr>
          <w:ilvl w:val="0"/>
          <w:numId w:val="1012"/>
        </w:numPr>
      </w:pPr>
      <w:r>
        <w:t xml:space="preserve">AU-2: Audit Events</w:t>
      </w:r>
    </w:p>
    <w:p>
      <w:pPr>
        <w:numPr>
          <w:ilvl w:val="0"/>
          <w:numId w:val="1012"/>
        </w:numPr>
      </w:pPr>
      <w:r>
        <w:t xml:space="preserve">AU-3: Content of Audit Records</w:t>
      </w:r>
    </w:p>
    <w:p>
      <w:pPr>
        <w:numPr>
          <w:ilvl w:val="0"/>
          <w:numId w:val="1012"/>
        </w:numPr>
      </w:pPr>
      <w:r>
        <w:t xml:space="preserve">AU-6: Audit Record Review, Analysis, and Reporting</w:t>
      </w:r>
    </w:p>
    <w:p>
      <w:pPr>
        <w:numPr>
          <w:ilvl w:val="0"/>
          <w:numId w:val="1012"/>
        </w:numPr>
      </w:pPr>
      <w:r>
        <w:t xml:space="preserve">AU-7: Audit Record Reduction and Report Generation</w:t>
      </w:r>
    </w:p>
    <w:p>
      <w:pPr>
        <w:numPr>
          <w:ilvl w:val="0"/>
          <w:numId w:val="1012"/>
        </w:numPr>
      </w:pPr>
      <w:r>
        <w:t xml:space="preserve">AU-12: Audit Record Generation</w:t>
      </w:r>
    </w:p>
    <w:p>
      <w:pPr>
        <w:numPr>
          <w:ilvl w:val="0"/>
          <w:numId w:val="1012"/>
        </w:numPr>
      </w:pPr>
      <w:r>
        <w:t xml:space="preserve">SI-4: System Monitoring</w:t>
      </w:r>
    </w:p>
    <w:p>
      <w:pPr>
        <w:pStyle w:val="FirstParagraph"/>
      </w:pPr>
      <w:r>
        <w:rPr>
          <w:bCs/>
          <w:b/>
        </w:rPr>
        <w:t xml:space="preserve">KSI Category:</w:t>
      </w:r>
      <w:r>
        <w:t xml:space="preserve"> </w:t>
      </w:r>
      <w:r>
        <w:rPr>
          <w:rStyle w:val="VerbatimChar"/>
        </w:rPr>
        <w:t xml:space="preserve">KSI-GOV</w:t>
      </w:r>
      <w:r>
        <w:br/>
      </w:r>
      <w:r>
        <w:rPr>
          <w:bCs/>
          <w:b/>
        </w:rPr>
        <w:t xml:space="preserve">Evidence Method:</w:t>
      </w:r>
      <w:r>
        <w:t xml:space="preserve"> </w:t>
      </w:r>
      <w:r>
        <w:t xml:space="preserve">Splunk Search Processing Language (SPL) Queries and Scheduled Report Audit Logs</w:t>
      </w:r>
    </w:p>
    <w:p>
      <w:pPr>
        <w:pStyle w:val="BlockText"/>
      </w:pPr>
      <w:r>
        <w:rPr>
          <w:bCs/>
          <w:b/>
        </w:rPr>
        <w:t xml:space="preserve">CISA Directive Compliance:</w:t>
      </w:r>
      <w:r>
        <w:t xml:space="preserve"> </w:t>
      </w:r>
      <w:r>
        <w:t xml:space="preserve">—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()</w:t>
      </w:r>
    </w:p>
    <w:p>
      <w:pPr>
        <w:pStyle w:val="FirstParagraph"/>
      </w:pPr>
      <w:r>
        <w:rPr>
          <w:bCs/>
          <w:b/>
        </w:rPr>
        <w:t xml:space="preserve">Documentation:</w:t>
      </w:r>
      <w:r>
        <w:t xml:space="preserve"> </w:t>
      </w:r>
      <w:hyperlink r:id="rId39">
        <w:r>
          <w:rPr>
            <w:rStyle w:val="Hyperlink"/>
          </w:rPr>
          <w:t xml:space="preserve">Splunk Technical Docs</w:t>
        </w:r>
      </w:hyperlink>
    </w:p>
    <w:p>
      <w:r>
        <w:pict>
          <v:rect style="width:0;height:1.5pt" o:hralign="center" o:hrstd="t" o:hr="t"/>
        </w:pict>
      </w:r>
    </w:p>
    <w:bookmarkEnd w:id="40"/>
    <w:bookmarkEnd w:id="41"/>
    <w:bookmarkStart w:id="46" w:name="external-security-baselines"/>
    <w:p>
      <w:pPr>
        <w:pStyle w:val="Heading2"/>
      </w:pPr>
      <w:r>
        <w:t xml:space="preserve">4. External Security Baselines</w:t>
      </w:r>
    </w:p>
    <w:p>
      <w:pPr>
        <w:pStyle w:val="FirstParagraph"/>
      </w:pPr>
      <w:r>
        <w:t xml:space="preserve">The UIAO architecture integrates with CISA’s Secure Cloud Business Applications (SCuBA) project to provide automated compliance validation and continuous reporting as required by BOD 25-01.</w:t>
      </w:r>
    </w:p>
    <w:bookmarkStart w:id="43" w:name="scubagear"/>
    <w:p>
      <w:pPr>
        <w:pStyle w:val="Heading3"/>
      </w:pPr>
      <w:r>
        <w:t xml:space="preserve">ScubaGear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Microsoft 365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2">
        <w:r>
          <w:rPr>
            <w:rStyle w:val="Hyperlink"/>
          </w:rPr>
          <w:t xml:space="preserve">ScubaGear</w:t>
        </w:r>
      </w:hyperlink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Reporting:</w:t>
      </w:r>
      <w:r>
        <w:t xml:space="preserve"> </w:t>
      </w:r>
      <w:r>
        <w:t xml:space="preserve">Continuous to CISA</w:t>
      </w:r>
    </w:p>
    <w:bookmarkEnd w:id="43"/>
    <w:bookmarkStart w:id="45" w:name="scubagoggles"/>
    <w:p>
      <w:pPr>
        <w:pStyle w:val="Heading3"/>
      </w:pPr>
      <w:r>
        <w:t xml:space="preserve">ScubaGoggles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Description:</w:t>
      </w:r>
      <w:r>
        <w:t xml:space="preserve"> </w:t>
      </w:r>
      <w:r>
        <w:t xml:space="preserve">CISA Secure Cloud Business Applications - Google Workspace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Repository:</w:t>
      </w:r>
      <w:r>
        <w:t xml:space="preserve"> </w:t>
      </w:r>
      <w:hyperlink r:id="rId44">
        <w:r>
          <w:rPr>
            <w:rStyle w:val="Hyperlink"/>
          </w:rPr>
          <w:t xml:space="preserve">ScubaGoggles</w:t>
        </w:r>
      </w:hyperlink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Current Version:</w:t>
      </w:r>
      <w:r>
        <w:t xml:space="preserve"> </w:t>
      </w:r>
      <w:r>
        <w:t xml:space="preserve">TBD - auto-synced via scripts/sync-scuba.py</w:t>
      </w:r>
    </w:p>
    <w:p>
      <w:pPr>
        <w:numPr>
          <w:ilvl w:val="0"/>
          <w:numId w:val="1014"/>
        </w:numPr>
        <w:pStyle w:val="Compact"/>
      </w:pPr>
      <w:r>
        <w:rPr>
          <w:bCs/>
          <w:b/>
        </w:rPr>
        <w:t xml:space="preserve">Mandate:</w:t>
      </w:r>
      <w:r>
        <w:t xml:space="preserve"> </w:t>
      </w:r>
      <w:r>
        <w:t xml:space="preserve">BOD 25-01</w:t>
      </w:r>
    </w:p>
    <w:p>
      <w:r>
        <w:pict>
          <v:rect style="width:0;height:1.5pt" o:hralign="center" o:hrstd="t" o:hr="t"/>
        </w:pict>
      </w:r>
    </w:p>
    <w:bookmarkEnd w:id="45"/>
    <w:bookmarkEnd w:id="46"/>
    <w:bookmarkStart w:id="49" w:name="active-cisa-directives"/>
    <w:p>
      <w:pPr>
        <w:pStyle w:val="Heading2"/>
      </w:pPr>
      <w:r>
        <w:t xml:space="preserve">5. Active CISA Directives</w:t>
      </w:r>
    </w:p>
    <w:p>
      <w:pPr>
        <w:pStyle w:val="FirstParagraph"/>
      </w:pPr>
      <w:r>
        <w:t xml:space="preserve">The following Binding Operational Directives (BODs) and Emergency Directives (EDs) are actively tracked in this repository. Compliance status is updated in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and reflected automatically in all generated documents.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Directive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Affected Vendor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BOD 25-01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Implementing Secure Practices for Cloud Services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All Federal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 26-03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Mitigate Vulnerabilities in Cisco SD-WAN Systems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Remediated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Cisco</w:t>
            </w:r>
          </w:p>
        </w:tc>
      </w:tr>
    </w:tbl>
    <w:bookmarkStart w:id="47" w:name="X79a699847e949ee4eec5e4c2b2dd56c45bba5e3"/>
    <w:p>
      <w:pPr>
        <w:pStyle w:val="Heading3"/>
      </w:pPr>
      <w:r>
        <w:t xml:space="preserve">BOD 25-01: Implementing Secure Practices for Cloud Services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Active</w:t>
      </w:r>
      <w:r>
        <w:br/>
      </w:r>
      <w:r>
        <w:rPr>
          <w:bCs/>
          <w:b/>
        </w:rPr>
        <w:t xml:space="preserve">Required Tools:</w:t>
      </w:r>
      <w:r>
        <w:t xml:space="preserve"> </w:t>
      </w:r>
      <w:r>
        <w:t xml:space="preserve">ScubaGear, ScubaGoggles</w:t>
      </w:r>
      <w:r>
        <w:br/>
      </w:r>
      <w:r>
        <w:rPr>
          <w:bCs/>
          <w:b/>
        </w:rPr>
        <w:t xml:space="preserve">Reporting Frequency:</w:t>
      </w:r>
      <w:r>
        <w:t xml:space="preserve"> </w:t>
      </w:r>
      <w:r>
        <w:t xml:space="preserve">Continuous</w:t>
      </w:r>
    </w:p>
    <w:bookmarkEnd w:id="47"/>
    <w:bookmarkStart w:id="48" w:name="X76bd466c1203c92237b91f20708f3321b91db21"/>
    <w:p>
      <w:pPr>
        <w:pStyle w:val="Heading3"/>
      </w:pPr>
      <w:r>
        <w:t xml:space="preserve">ED 26-03: Mitigate Vulnerabilities in Cisco SD-WAN Systems</w:t>
      </w:r>
    </w:p>
    <w:p>
      <w:pPr>
        <w:pStyle w:val="FirstParagraph"/>
      </w:pPr>
      <w:r>
        <w:rPr>
          <w:bCs/>
          <w:b/>
        </w:rPr>
        <w:t xml:space="preserve">Status:</w:t>
      </w:r>
      <w:r>
        <w:t xml:space="preserve"> </w:t>
      </w:r>
      <w:r>
        <w:t xml:space="preserve">Remediated</w:t>
      </w:r>
      <w:r>
        <w:br/>
      </w:r>
      <w:r>
        <w:rPr>
          <w:bCs/>
          <w:b/>
        </w:rPr>
        <w:t xml:space="preserve">Patch Deadline:</w:t>
      </w:r>
      <w:r>
        <w:t xml:space="preserve"> </w:t>
      </w:r>
      <w:r>
        <w:t xml:space="preserve">2026-03-15</w:t>
      </w:r>
      <w:r>
        <w:br/>
      </w:r>
      <w:r>
        <w:rPr>
          <w:bCs/>
          <w:b/>
        </w:rPr>
        <w:t xml:space="preserve">UIAO Response:</w:t>
      </w:r>
      <w:r>
        <w:t xml:space="preserve"> </w:t>
      </w:r>
      <w:r>
        <w:t xml:space="preserve">Patched 2026-02-28 - Logged in compliance_notes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0" w:name="maintaining-this-document"/>
    <w:p>
      <w:pPr>
        <w:pStyle w:val="Heading2"/>
      </w:pPr>
      <w:r>
        <w:t xml:space="preserve">6. Maintaining This Document</w:t>
      </w:r>
    </w:p>
    <w:p>
      <w:pPr>
        <w:pStyle w:val="FirstParagraph"/>
      </w:pPr>
      <w:r>
        <w:t xml:space="preserve">This document is automatically regenerated whenever changes are pushed to the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branch. To update vendor information:</w:t>
      </w:r>
    </w:p>
    <w:p>
      <w:pPr>
        <w:numPr>
          <w:ilvl w:val="0"/>
          <w:numId w:val="1015"/>
        </w:numPr>
        <w:pStyle w:val="Compact"/>
      </w:pPr>
      <w:r>
        <w:t xml:space="preserve">Edit</w:t>
      </w:r>
      <w:r>
        <w:t xml:space="preserve"> </w:t>
      </w:r>
      <w:r>
        <w:rPr>
          <w:rStyle w:val="VerbatimChar"/>
        </w:rPr>
        <w:t xml:space="preserve">data/vendor-stack.yml</w:t>
      </w:r>
      <w:r>
        <w:t xml:space="preserve"> </w:t>
      </w:r>
      <w:r>
        <w:t xml:space="preserve">with the new vendor version, directive status, or certification update.</w:t>
      </w:r>
    </w:p>
    <w:p>
      <w:pPr>
        <w:numPr>
          <w:ilvl w:val="0"/>
          <w:numId w:val="1015"/>
        </w:numPr>
        <w:pStyle w:val="Compact"/>
      </w:pPr>
      <w:r>
        <w:t xml:space="preserve">Commit and push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</w:t>
      </w:r>
    </w:p>
    <w:p>
      <w:pPr>
        <w:numPr>
          <w:ilvl w:val="0"/>
          <w:numId w:val="1015"/>
        </w:numPr>
        <w:pStyle w:val="Compact"/>
      </w:pPr>
      <w:r>
        <w:t xml:space="preserve">The GitHub Actions workflow will regenerate all documents, including this one.</w:t>
      </w:r>
    </w:p>
    <w:p>
      <w:pPr>
        <w:numPr>
          <w:ilvl w:val="0"/>
          <w:numId w:val="1015"/>
        </w:numPr>
        <w:pStyle w:val="Compact"/>
      </w:pPr>
      <w:r>
        <w:t xml:space="preserve">The updated document will appear on the UIAO-Core website within minutes.</w:t>
      </w:r>
    </w:p>
    <w:p>
      <w:pPr>
        <w:pStyle w:val="FirstParagraph"/>
      </w:pPr>
      <w:r>
        <w:t xml:space="preserve">This approach ensures that the vendor compliance registry is never stale, always version-controlled, and permanently auditable through Git history.</w:t>
      </w:r>
    </w:p>
    <w:bookmarkEnd w:id="50"/>
    <w:bookmarkEnd w:id="5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docs.infoblox.com/space/BloxOneThreatDefense" TargetMode="External" /><Relationship Type="http://schemas.openxmlformats.org/officeDocument/2006/relationships/hyperlink" Id="rId37" Target="https://docs.servicenow.com/bundle/xanadu-it-service-management/page/product/incident-management/concept/c_IncidentManagement.html" TargetMode="External" /><Relationship Type="http://schemas.openxmlformats.org/officeDocument/2006/relationships/hyperlink" Id="rId39" Target="https://docs.splunk.com/Documentation/SplunkCloud" TargetMode="External" /><Relationship Type="http://schemas.openxmlformats.org/officeDocument/2006/relationships/hyperlink" Id="rId42" Target="https://github.com/cisagov/ScubaGear" TargetMode="External" /><Relationship Type="http://schemas.openxmlformats.org/officeDocument/2006/relationships/hyperlink" Id="rId44" Target="https://github.com/cisagov/ScubaGoggles" TargetMode="External" /><Relationship Type="http://schemas.openxmlformats.org/officeDocument/2006/relationships/hyperlink" Id="rId33" Target="https://learn.microsoft.com/en-us/azure/sentinel/" TargetMode="External" /><Relationship Type="http://schemas.openxmlformats.org/officeDocument/2006/relationships/hyperlink" Id="rId31" Target="https://learn.microsoft.com/en-us/defender-endpoint/" TargetMode="External" /><Relationship Type="http://schemas.openxmlformats.org/officeDocument/2006/relationships/hyperlink" Id="rId27" Target="https://learn.microsoft.com/en-us/entra/identity/" TargetMode="External" /><Relationship Type="http://schemas.openxmlformats.org/officeDocument/2006/relationships/hyperlink" Id="rId29" Target="https://learn.microsoft.com/en-us/mem/intune/" TargetMode="External" /><Relationship Type="http://schemas.openxmlformats.org/officeDocument/2006/relationships/hyperlink" Id="rId24" Target="https://sec.cloudapps.cisco.com/security/center/resources/Cisco-Catalyst-SD-WAN-HardeningGuide" TargetMode="External" /><Relationship Type="http://schemas.openxmlformats.org/officeDocument/2006/relationships/hyperlink" Id="rId25" Target="https://www.cisco.com/c/en/us/td/docs/routers/sdwan/configuration/routing/v17-9/routing-book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2026-03-20T13:55:33Z</dcterms:created>
  <dcterms:modified xsi:type="dcterms:W3CDTF">2026-03-20T13:55:33Z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