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FedRAMP</w:t>
      </w:r>
      <w:r>
        <w:t xml:space="preserve"> </w:t>
      </w:r>
      <w:r>
        <w:t xml:space="preserve">22</w:t>
      </w:r>
      <w:r>
        <w:t xml:space="preserve"> </w:t>
      </w:r>
      <w:r>
        <w:t xml:space="preserve">Compliance</w:t>
      </w:r>
      <w:r>
        <w:t xml:space="preserve"> </w:t>
      </w:r>
      <w:r>
        <w:t xml:space="preserve">Summary</w:t>
      </w:r>
    </w:p>
    <w:bookmarkStart w:id="20" w:name="uiao-fedramp-22-compliance-summary"/>
    <w:p>
      <w:pPr>
        <w:pStyle w:val="Heading1"/>
      </w:pPr>
      <w:r>
        <w:t xml:space="preserve">UIAO FedRAMP 22 Compliance Summary</w:t>
      </w:r>
    </w:p>
    <w:p>
      <w:pPr>
        <w:pStyle w:val="FirstParagraph"/>
      </w:pPr>
      <w:r>
        <w:rPr>
          <w:bCs/>
          <w:b/>
        </w:rPr>
        <w:t xml:space="preserve">Version 1.0</w:t>
      </w:r>
    </w:p>
    <w:p>
      <w:r>
        <w:pict>
          <v:rect style="width:0;height:1.5pt" o:hralign="center" o:hrstd="t" o:hr="t"/>
        </w:pict>
      </w:r>
    </w:p>
    <w:bookmarkEnd w:id="20"/>
    <w:bookmarkStart w:id="21" w:name="compliance-drivers"/>
    <w:p>
      <w:pPr>
        <w:pStyle w:val="Heading1"/>
      </w:pPr>
      <w:r>
        <w:t xml:space="preserve">Compliance Drivers</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bookmarkEnd w:id="21"/>
    <w:bookmarkStart w:id="27" w:name="architecture-supporting-fedramp-22"/>
    <w:p>
      <w:pPr>
        <w:pStyle w:val="Heading1"/>
      </w:pPr>
      <w:r>
        <w:t xml:space="preserve">Architecture Supporting FedRAMP 22</w:t>
      </w:r>
    </w:p>
    <w:bookmarkStart w:id="22" w:name="identity-control-plane"/>
    <w:p>
      <w:pPr>
        <w:pStyle w:val="Heading3"/>
      </w:pPr>
      <w:r>
        <w:t xml:space="preserve">1. Identity Control Plane</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bookmarkEnd w:id="22"/>
    <w:bookmarkStart w:id="23" w:name="network-control-plane"/>
    <w:p>
      <w:pPr>
        <w:pStyle w:val="Heading3"/>
      </w:pPr>
      <w:r>
        <w:t xml:space="preserve">2. Network Control Plane</w:t>
      </w:r>
    </w:p>
    <w:p>
      <w:pPr>
        <w:pStyle w:val="FirstParagraph"/>
      </w:pPr>
      <w:r>
        <w:t xml:space="preserve">The Network Control Plane uses Cisco SD-WAN to deliver cloud-first routing, performance-optimized paths for M365, and identity-aware segmentation. Integration with INR enables location-aware routing and emergency services readiness.</w:t>
      </w:r>
    </w:p>
    <w:bookmarkEnd w:id="23"/>
    <w:bookmarkStart w:id="24" w:name="addressing-control-plane"/>
    <w:p>
      <w:pPr>
        <w:pStyle w:val="Heading3"/>
      </w:pPr>
      <w:r>
        <w:t xml:space="preserve">3. Addressing Control Plane</w:t>
      </w:r>
    </w:p>
    <w:p>
      <w:pPr>
        <w:pStyle w:val="FirstParagraph"/>
      </w:pPr>
      <w:r>
        <w:t xml:space="preserve">The Addressing Control Plane modernizes IPAM through InfoBlox, replacing spreadsheets with authoritative, identity-derived addressing. DNS and DHCP are unified across cloud and on-prem environments, enabling consistent policy enforcement and accurate telemetry correlation.</w:t>
      </w:r>
    </w:p>
    <w:bookmarkEnd w:id="24"/>
    <w:bookmarkStart w:id="25" w:name="telemetry-location-control-plane"/>
    <w:p>
      <w:pPr>
        <w:pStyle w:val="Heading3"/>
      </w:pPr>
      <w:r>
        <w:t xml:space="preserve">4. Telemetry &amp; Location Control Plane</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bookmarkEnd w:id="25"/>
    <w:bookmarkStart w:id="26" w:name="security-compliance-plane"/>
    <w:p>
      <w:pPr>
        <w:pStyle w:val="Heading3"/>
      </w:pPr>
      <w:r>
        <w:t xml:space="preserve">5. Security &amp; Compliance Plane</w:t>
      </w:r>
    </w:p>
    <w:p>
      <w:pPr>
        <w:pStyle w:val="FirstParagraph"/>
      </w:pPr>
      <w:r>
        <w:t xml:space="preserve">The Security and Compliance Plane aligns the architecture with TIC 3.0, Zero Trust, FedRAMP 22, NIST 800-63, and ICAM governance. Security becomes embedded in the architecture rather than bolted on, with automated enforcement replacing manual review.</w:t>
      </w:r>
    </w:p>
    <w:p>
      <w:r>
        <w:pict>
          <v:rect style="width:0;height:1.5pt" o:hralign="center" o:hrstd="t" o:hr="t"/>
        </w:pict>
      </w:r>
    </w:p>
    <w:bookmarkEnd w:id="26"/>
    <w:bookmarkEnd w:id="27"/>
    <w:bookmarkStart w:id="35" w:name="core-concepts-supporting-fedramp-22"/>
    <w:p>
      <w:pPr>
        <w:pStyle w:val="Heading1"/>
      </w:pPr>
      <w:r>
        <w:t xml:space="preserve">Core Concepts Supporting FedRAMP 22</w:t>
      </w:r>
    </w:p>
    <w:bookmarkStart w:id="28" w:name="conversation-as-the-atomic-unit"/>
    <w:p>
      <w:pPr>
        <w:pStyle w:val="Heading3"/>
      </w:pPr>
      <w:r>
        <w:t xml:space="preserve">1. Conversation as the Atomic Unit</w:t>
      </w:r>
    </w:p>
    <w:p>
      <w:pPr>
        <w:pStyle w:val="FirstParagraph"/>
      </w:pPr>
      <w:r>
        <w:t xml:space="preserve">Every interaction—identity, certificate, addressing, path, QoS, and telemetry—is treated as a single, correlated conversation rather than isolated events.</w:t>
      </w:r>
    </w:p>
    <w:bookmarkEnd w:id="28"/>
    <w:bookmarkStart w:id="29" w:name="identity-as-the-root-namespace"/>
    <w:p>
      <w:pPr>
        <w:pStyle w:val="Heading3"/>
      </w:pPr>
      <w:r>
        <w:t xml:space="preserve">2. Identity as the Root Namespace</w:t>
      </w:r>
    </w:p>
    <w:p>
      <w:pPr>
        <w:pStyle w:val="FirstParagraph"/>
      </w:pPr>
      <w:r>
        <w:t xml:space="preserve">Identity becomes the root namespace for all resources, ensuring that every IP address, certificate, subnet, policy, and telemetry event is derived from or bound to identity.</w:t>
      </w:r>
    </w:p>
    <w:bookmarkEnd w:id="29"/>
    <w:bookmarkStart w:id="30" w:name="deterministic-addressing"/>
    <w:p>
      <w:pPr>
        <w:pStyle w:val="Heading3"/>
      </w:pPr>
      <w:r>
        <w:t xml:space="preserve">3. Deterministic Addressing</w:t>
      </w:r>
    </w:p>
    <w:p>
      <w:pPr>
        <w:pStyle w:val="FirstParagraph"/>
      </w:pPr>
      <w:r>
        <w:t xml:space="preserve">Addressing becomes deterministic and policy-driven, replacing ad-hoc assignment with identity-derived logic that enables accurate correlation and automated governance.</w:t>
      </w:r>
    </w:p>
    <w:bookmarkEnd w:id="30"/>
    <w:bookmarkStart w:id="31" w:name="certificate-anchored-overlay"/>
    <w:p>
      <w:pPr>
        <w:pStyle w:val="Heading3"/>
      </w:pPr>
      <w:r>
        <w:t xml:space="preserve">4. Certificate-Anchored Overlay</w:t>
      </w:r>
    </w:p>
    <w:p>
      <w:pPr>
        <w:pStyle w:val="FirstParagraph"/>
      </w:pPr>
      <w:r>
        <w:t xml:space="preserve">Certificates and mutual TLS anchor tunnels, services, and trust relationships across the enterprise.</w:t>
      </w:r>
    </w:p>
    <w:bookmarkEnd w:id="31"/>
    <w:bookmarkStart w:id="32" w:name="telemetry-as-control"/>
    <w:p>
      <w:pPr>
        <w:pStyle w:val="Heading3"/>
      </w:pPr>
      <w:r>
        <w:t xml:space="preserve">5. Telemetry as Control</w:t>
      </w:r>
    </w:p>
    <w:p>
      <w:pPr>
        <w:pStyle w:val="FirstParagraph"/>
      </w:pPr>
      <w:r>
        <w:t xml:space="preserve">Telemetry becomes an active control input for routing, security, and compliance decisions rather than a passive reporting mechanism.</w:t>
      </w:r>
    </w:p>
    <w:bookmarkEnd w:id="32"/>
    <w:bookmarkStart w:id="33" w:name="embedded-governance-automation"/>
    <w:p>
      <w:pPr>
        <w:pStyle w:val="Heading3"/>
      </w:pPr>
      <w:r>
        <w:t xml:space="preserve">6. Embedded Governance &amp; Automation</w:t>
      </w:r>
    </w:p>
    <w:p>
      <w:pPr>
        <w:pStyle w:val="FirstParagraph"/>
      </w:pPr>
      <w:r>
        <w:t xml:space="preserve">Governance is executed through orchestrated workflows that enforce policy consistently and reduce operational burden.</w:t>
      </w:r>
    </w:p>
    <w:bookmarkEnd w:id="33"/>
    <w:bookmarkStart w:id="34" w:name="public-service-first"/>
    <w:p>
      <w:pPr>
        <w:pStyle w:val="Heading3"/>
      </w:pPr>
      <w:r>
        <w:t xml:space="preserve">7. Public Service First</w:t>
      </w:r>
    </w:p>
    <w:p>
      <w:pPr>
        <w:pStyle w:val="FirstParagraph"/>
      </w:pPr>
      <w:r>
        <w:t xml:space="preserve">Citizen experience, accessibility, and privacy remain top-level design constraints.</w:t>
      </w:r>
    </w:p>
    <w:p>
      <w:r>
        <w:pict>
          <v:rect style="width:0;height:1.5pt" o:hralign="center" o:hrstd="t" o:hr="t"/>
        </w:pict>
      </w:r>
    </w:p>
    <w:bookmarkEnd w:id="34"/>
    <w:bookmarkEnd w:id="35"/>
    <w:bookmarkStart w:id="36" w:name="frozen-state-compliance-risks"/>
    <w:p>
      <w:pPr>
        <w:pStyle w:val="Heading1"/>
      </w:pPr>
      <w:r>
        <w:t xml:space="preserve">Frozen State Compliance Risks</w:t>
      </w:r>
    </w:p>
    <w:p>
      <w:pPr>
        <w:pStyle w:val="FirstParagraph"/>
      </w:pPr>
      <w:r>
        <w:t xml:space="preserve">The agency’s current environment reflects a series of disconnected legacy systems that cannot support modern requirements. Identity is siloed across divisions, preventing a unified identity graph. Addressing is static and manually managed, creating operational risk and preventing accurate correlation. Network security relies on perimeter firewalls that cannot enforce identity-aware segmentation. Endpoint posture is inconsistent due to mixed tooling. Applications rely on monolithic architectures and local authentication, limiting scalability and modernization. Telemetry is collected but not correlated, preventing conversation-level visibility. Governance depends on email and manual change management, slowing operations and increasing error rates. Data protection relies on manual classification and noisy DLP, limiting effectiveness.</w:t>
      </w:r>
    </w:p>
    <w:p>
      <w:r>
        <w:pict>
          <v:rect style="width:0;height:1.5pt" o:hralign="center" o:hrstd="t" o:hr="t"/>
        </w:pict>
      </w:r>
    </w:p>
    <w:bookmarkEnd w:id="36"/>
    <w:bookmarkStart w:id="37" w:name="compliance-outcomes"/>
    <w:p>
      <w:pPr>
        <w:pStyle w:val="Heading1"/>
      </w:pPr>
      <w:r>
        <w:t xml:space="preserve">Compliance Outcomes</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r>
        <w:pict>
          <v:rect style="width:0;height:1.5pt" o:hralign="center" o:hrstd="t" o:hr="t"/>
        </w:pict>
      </w:r>
    </w:p>
    <w:p>
      <w:pPr>
        <w:pStyle w:val="FirstParagraph"/>
      </w:pPr>
      <w:r>
        <w:rPr>
          <w:iCs/>
          <w:i/>
        </w:rPr>
        <w:t xml:space="preserve">End of FedRAMP 22 Compliance Summary v1.0</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FedRAMP 22 Compliance Summary</dc:title>
  <dc:creator/>
  <cp:keywords/>
  <dcterms:created xsi:type="dcterms:W3CDTF">2026-03-20T16:36:22Z</dcterms:created>
  <dcterms:modified xsi:type="dcterms:W3CDTF">2026-03-20T16:36:22Z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