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06 Programvision</w:t>
      </w:r>
    </w:p>
    <w:p>
      <w:pPr>
        <w:pStyle w:val="Author"/>
      </w:pPr>
      <w:r>
        <w:t xml:space="preserve">UIAO Modernization Program</w:t>
      </w:r>
    </w:p>
    <w:p>
      <w:pPr>
        <w:pStyle w:val="Date"/>
      </w:pPr>
      <w:r>
        <w:t xml:space="preserve">March 31,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6" w:name="X89d27089b9e35464a3fe4ccca1d49cbbcbaeb69"/>
    <w:p>
      <w:pPr>
        <w:pStyle w:val="Heading1"/>
      </w:pPr>
      <w:r>
        <w:t xml:space="preserve">1. Unified Identity-Addressing-Overlay Architecture (UIAO)</w:t>
      </w:r>
    </w:p>
    <w:bookmarkStart w:id="20" w:name="program-vision"/>
    <w:p>
      <w:pPr>
        <w:pStyle w:val="Heading2"/>
      </w:pPr>
      <w:r>
        <w:t xml:space="preserve">1.1 Program Vision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CUI/FOUO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 Plane(s)</w:t>
            </w:r>
          </w:p>
        </w:tc>
        <w:tc>
          <w:tcPr/>
          <w:p>
            <w:pPr>
              <w:pStyle w:val="Compact"/>
            </w:pPr>
            <w:r>
              <w:t xml:space="preserve">Identity, Network, Addressing, Telemetry, Security,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Leadership Vision (01_Canon)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2"/>
      </w:pPr>
      <w:r>
        <w:t xml:space="preserve">1.2 2. Purpose</w:t>
      </w:r>
    </w:p>
    <w:p>
      <w:pPr>
        <w:pStyle w:val="FirstParagraph"/>
      </w:pPr>
      <w:r>
        <w:t xml:space="preserve">This document defines the Program Vision for the Unified Identity-Addressing-Overlay (UIAO) modernization initiative. It articulates the strategic intent, mission alignment, guiding principles, and end-state outcomes required to transform the agency into a cloud-optimized, identity-driven, telemetry-informed federal enterprise aligned with Zero Trust, TIC 3.0, and FedRAMP 20x.</w:t>
      </w:r>
    </w:p>
    <w:p>
      <w:r>
        <w:pict>
          <v:rect style="width:0;height:1.5pt" o:hralign="center" o:hrstd="t" o:hr="t"/>
        </w:pict>
      </w:r>
    </w:p>
    <w:bookmarkEnd w:id="21"/>
    <w:bookmarkStart w:id="24" w:name="scope"/>
    <w:p>
      <w:pPr>
        <w:pStyle w:val="Heading2"/>
      </w:pPr>
      <w:r>
        <w:t xml:space="preserve">1.3 3. Scope</w:t>
      </w:r>
    </w:p>
    <w:bookmarkStart w:id="22" w:name="included"/>
    <w:p>
      <w:pPr>
        <w:pStyle w:val="Heading3"/>
      </w:pPr>
      <w:r>
        <w:t xml:space="preserve">1.3.1 Included</w:t>
      </w:r>
    </w:p>
    <w:p>
      <w:pPr>
        <w:pStyle w:val="Compact"/>
        <w:numPr>
          <w:ilvl w:val="0"/>
          <w:numId w:val="1001"/>
        </w:numPr>
      </w:pPr>
      <w:r>
        <w:t xml:space="preserve">Strategic modernization vision</w:t>
      </w:r>
    </w:p>
    <w:p>
      <w:pPr>
        <w:pStyle w:val="Compact"/>
        <w:numPr>
          <w:ilvl w:val="0"/>
          <w:numId w:val="1001"/>
        </w:numPr>
      </w:pPr>
      <w:r>
        <w:t xml:space="preserve">Mission alignment and business drivers</w:t>
      </w:r>
    </w:p>
    <w:p>
      <w:pPr>
        <w:pStyle w:val="Compact"/>
        <w:numPr>
          <w:ilvl w:val="0"/>
          <w:numId w:val="1001"/>
        </w:numPr>
      </w:pPr>
      <w:r>
        <w:t xml:space="preserve">Guiding principles</w:t>
      </w:r>
    </w:p>
    <w:p>
      <w:pPr>
        <w:pStyle w:val="Compact"/>
        <w:numPr>
          <w:ilvl w:val="0"/>
          <w:numId w:val="1001"/>
        </w:numPr>
      </w:pPr>
      <w:r>
        <w:t xml:space="preserve">End-state architectural outcomes</w:t>
      </w:r>
    </w:p>
    <w:p>
      <w:pPr>
        <w:pStyle w:val="Compact"/>
        <w:numPr>
          <w:ilvl w:val="0"/>
          <w:numId w:val="1001"/>
        </w:numPr>
      </w:pPr>
      <w:r>
        <w:t xml:space="preserve">Technology pillars supporting the program</w:t>
      </w:r>
    </w:p>
    <w:bookmarkEnd w:id="22"/>
    <w:bookmarkStart w:id="23" w:name="excluded"/>
    <w:p>
      <w:pPr>
        <w:pStyle w:val="Heading3"/>
      </w:pPr>
      <w:r>
        <w:t xml:space="preserve">1.3.2 Excluded</w:t>
      </w:r>
    </w:p>
    <w:p>
      <w:pPr>
        <w:pStyle w:val="Compact"/>
        <w:numPr>
          <w:ilvl w:val="0"/>
          <w:numId w:val="1002"/>
        </w:numPr>
      </w:pPr>
      <w:r>
        <w:t xml:space="preserve">Detailed architecture (see foundational documents)</w:t>
      </w:r>
    </w:p>
    <w:p>
      <w:pPr>
        <w:pStyle w:val="Compact"/>
        <w:numPr>
          <w:ilvl w:val="0"/>
          <w:numId w:val="1002"/>
        </w:numPr>
      </w:pPr>
      <w:r>
        <w:t xml:space="preserve">Compliance mappings (see FedRAMP crosswalk)</w:t>
      </w:r>
    </w:p>
    <w:p>
      <w:pPr>
        <w:pStyle w:val="Compact"/>
        <w:numPr>
          <w:ilvl w:val="0"/>
          <w:numId w:val="1002"/>
        </w:numPr>
      </w:pPr>
      <w:r>
        <w:t xml:space="preserve">Project sequencing (see modernization timeline)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rol-plane-alignment"/>
    <w:p>
      <w:pPr>
        <w:pStyle w:val="Heading2"/>
      </w:pPr>
      <w:r>
        <w:t xml:space="preserve">1.4 4. Control Plane Alignment</w:t>
      </w:r>
    </w:p>
    <w:p>
      <w:pPr>
        <w:pStyle w:val="FirstParagraph"/>
      </w:pPr>
      <w:r>
        <w:t xml:space="preserve">The Program Vision spans all six UIAO control planes: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Plane</w:t>
            </w:r>
          </w:p>
        </w:tc>
        <w:tc>
          <w:tcPr/>
          <w:p>
            <w:pPr>
              <w:pStyle w:val="Compact"/>
            </w:pPr>
            <w:r>
              <w:t xml:space="preserve">Strategic 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Foundation of Zero Trust and access governance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Cloud-first routing and segmentation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Addressing</w:t>
            </w:r>
          </w:p>
        </w:tc>
        <w:tc>
          <w:tcPr/>
          <w:p>
            <w:pPr>
              <w:pStyle w:val="Compact"/>
            </w:pPr>
            <w:r>
              <w:t xml:space="preserve">Deterministic IPAM and location intelligence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 &amp; Location</w:t>
            </w:r>
          </w:p>
        </w:tc>
        <w:tc>
          <w:tcPr/>
          <w:p>
            <w:pPr>
              <w:pStyle w:val="Compact"/>
            </w:pPr>
            <w:r>
              <w:t xml:space="preserve">Real-time truth source for decisions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&amp; Compliance</w:t>
            </w:r>
          </w:p>
        </w:tc>
        <w:tc>
          <w:tcPr/>
          <w:p>
            <w:pPr>
              <w:pStyle w:val="Compact"/>
            </w:pPr>
            <w:r>
              <w:t xml:space="preserve">Alignment with TIC 3.0, FedRAMP 20x, NIST 800-63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Management</w:t>
            </w:r>
          </w:p>
        </w:tc>
        <w:tc>
          <w:tcPr/>
          <w:p>
            <w:pPr>
              <w:pStyle w:val="Compact"/>
            </w:pPr>
            <w:r>
              <w:t xml:space="preserve">Governance, drift detection, and continuous authorization</w:t>
            </w:r>
          </w:p>
        </w:tc>
      </w:tr>
    </w:tbl>
    <w:p>
      <w:pPr>
        <w:pStyle w:val="BodyText"/>
      </w:pPr>
      <w:r>
        <w:t xml:space="preserve">The vision describes how these planes unify into a single modernization program.</w:t>
      </w:r>
    </w:p>
    <w:p>
      <w:r>
        <w:pict>
          <v:rect style="width:0;height:1.5pt" o:hralign="center" o:hrstd="t" o:hr="t"/>
        </w:pict>
      </w:r>
    </w:p>
    <w:bookmarkEnd w:id="25"/>
    <w:bookmarkStart w:id="26" w:name="core-concepts"/>
    <w:p>
      <w:pPr>
        <w:pStyle w:val="Heading2"/>
      </w:pPr>
      <w:r>
        <w:t xml:space="preserve">1.5 5. Core Concepts</w:t>
      </w:r>
    </w:p>
    <w:p>
      <w:pPr>
        <w:pStyle w:val="FirstParagraph"/>
      </w:pPr>
      <w:r>
        <w:t xml:space="preserve">The Program Vision is anchored in the Seven Core Concepts of UIAO:</w:t>
      </w:r>
    </w:p>
    <w:p>
      <w:pPr>
        <w:pStyle w:val="Compact"/>
        <w:numPr>
          <w:ilvl w:val="0"/>
          <w:numId w:val="1003"/>
        </w:numPr>
      </w:pPr>
      <w:r>
        <w:t xml:space="preserve">Conversation as the atomic unit</w:t>
      </w:r>
    </w:p>
    <w:p>
      <w:pPr>
        <w:pStyle w:val="Compact"/>
        <w:numPr>
          <w:ilvl w:val="0"/>
          <w:numId w:val="1003"/>
        </w:numPr>
      </w:pPr>
      <w:r>
        <w:t xml:space="preserve">Identity as the root namespace</w:t>
      </w:r>
    </w:p>
    <w:p>
      <w:pPr>
        <w:pStyle w:val="Compact"/>
        <w:numPr>
          <w:ilvl w:val="0"/>
          <w:numId w:val="1003"/>
        </w:numPr>
      </w:pPr>
      <w:r>
        <w:t xml:space="preserve">Deterministic addressing</w:t>
      </w:r>
    </w:p>
    <w:p>
      <w:pPr>
        <w:pStyle w:val="Compact"/>
        <w:numPr>
          <w:ilvl w:val="0"/>
          <w:numId w:val="1003"/>
        </w:numPr>
      </w:pPr>
      <w:r>
        <w:t xml:space="preserve">Certificate-anchored overlay</w:t>
      </w:r>
    </w:p>
    <w:p>
      <w:pPr>
        <w:pStyle w:val="Compact"/>
        <w:numPr>
          <w:ilvl w:val="0"/>
          <w:numId w:val="1003"/>
        </w:numPr>
      </w:pPr>
      <w:r>
        <w:t xml:space="preserve">Telemetry as control</w:t>
      </w:r>
    </w:p>
    <w:p>
      <w:pPr>
        <w:pStyle w:val="Compact"/>
        <w:numPr>
          <w:ilvl w:val="0"/>
          <w:numId w:val="1003"/>
        </w:numPr>
      </w:pPr>
      <w:r>
        <w:t xml:space="preserve">Embedded governance &amp; automation</w:t>
      </w:r>
    </w:p>
    <w:p>
      <w:pPr>
        <w:pStyle w:val="Compact"/>
        <w:numPr>
          <w:ilvl w:val="0"/>
          <w:numId w:val="1003"/>
        </w:numPr>
      </w:pPr>
      <w:r>
        <w:t xml:space="preserve">Public service first</w:t>
      </w:r>
    </w:p>
    <w:p>
      <w:pPr>
        <w:pStyle w:val="FirstParagraph"/>
      </w:pPr>
      <w:r>
        <w:t xml:space="preserve">These concepts define the modernization philosophy and guide all program decisions.</w:t>
      </w:r>
    </w:p>
    <w:p>
      <w:r>
        <w:pict>
          <v:rect style="width:0;height:1.5pt" o:hralign="center" o:hrstd="t" o:hr="t"/>
        </w:pict>
      </w:r>
    </w:p>
    <w:bookmarkEnd w:id="26"/>
    <w:bookmarkStart w:id="31" w:name="architecture-model"/>
    <w:p>
      <w:pPr>
        <w:pStyle w:val="Heading2"/>
      </w:pPr>
      <w:r>
        <w:t xml:space="preserve">1.6 6. Architecture Model</w:t>
      </w:r>
    </w:p>
    <w:bookmarkStart w:id="27" w:name="purpose-of-the-modernization-program"/>
    <w:p>
      <w:pPr>
        <w:pStyle w:val="Heading3"/>
      </w:pPr>
      <w:r>
        <w:t xml:space="preserve">1.6.1 6.1 Purpose of the Modernization Program</w:t>
      </w:r>
    </w:p>
    <w:p>
      <w:pPr>
        <w:pStyle w:val="FirstParagraph"/>
      </w:pPr>
      <w:r>
        <w:t xml:space="preserve">The agency must modernize to:</w:t>
      </w:r>
    </w:p>
    <w:p>
      <w:pPr>
        <w:pStyle w:val="Compact"/>
        <w:numPr>
          <w:ilvl w:val="0"/>
          <w:numId w:val="1004"/>
        </w:numPr>
      </w:pPr>
      <w:r>
        <w:t xml:space="preserve">Improve mission readiness</w:t>
      </w:r>
    </w:p>
    <w:p>
      <w:pPr>
        <w:pStyle w:val="Compact"/>
        <w:numPr>
          <w:ilvl w:val="0"/>
          <w:numId w:val="1004"/>
        </w:numPr>
      </w:pPr>
      <w:r>
        <w:t xml:space="preserve">Reduce cyber risk</w:t>
      </w:r>
    </w:p>
    <w:p>
      <w:pPr>
        <w:pStyle w:val="Compact"/>
        <w:numPr>
          <w:ilvl w:val="0"/>
          <w:numId w:val="1004"/>
        </w:numPr>
      </w:pPr>
      <w:r>
        <w:t xml:space="preserve">Meet federal mandates</w:t>
      </w:r>
    </w:p>
    <w:p>
      <w:pPr>
        <w:pStyle w:val="Compact"/>
        <w:numPr>
          <w:ilvl w:val="0"/>
          <w:numId w:val="1004"/>
        </w:numPr>
      </w:pPr>
      <w:r>
        <w:t xml:space="preserve">Improve citizen-facing services</w:t>
      </w:r>
    </w:p>
    <w:p>
      <w:pPr>
        <w:pStyle w:val="Compact"/>
        <w:numPr>
          <w:ilvl w:val="0"/>
          <w:numId w:val="1004"/>
        </w:numPr>
      </w:pPr>
      <w:r>
        <w:t xml:space="preserve">Replace legacy perimeter architectures</w:t>
      </w:r>
    </w:p>
    <w:p>
      <w:pPr>
        <w:pStyle w:val="Compact"/>
        <w:numPr>
          <w:ilvl w:val="0"/>
          <w:numId w:val="1004"/>
        </w:numPr>
      </w:pPr>
      <w:r>
        <w:t xml:space="preserve">Enable cloud-first operations</w:t>
      </w:r>
    </w:p>
    <w:p>
      <w:pPr>
        <w:pStyle w:val="Compact"/>
        <w:numPr>
          <w:ilvl w:val="0"/>
          <w:numId w:val="1004"/>
        </w:numPr>
      </w:pPr>
      <w:r>
        <w:t xml:space="preserve">Support real-time telemetry and location services</w:t>
      </w:r>
    </w:p>
    <w:p>
      <w:pPr>
        <w:pStyle w:val="FirstParagraph"/>
      </w:pPr>
      <w:r>
        <w:t xml:space="preserve">UIAO provides the architectural foundation for this transformation.</w:t>
      </w:r>
    </w:p>
    <w:bookmarkEnd w:id="27"/>
    <w:bookmarkStart w:id="28" w:name="technology-pillars"/>
    <w:p>
      <w:pPr>
        <w:pStyle w:val="Heading3"/>
      </w:pPr>
      <w:r>
        <w:t xml:space="preserve">1.6.2 6.2 Technology Pillars</w:t>
      </w:r>
    </w:p>
    <w:p>
      <w:pPr>
        <w:pStyle w:val="FirstParagraph"/>
      </w:pPr>
      <w:r>
        <w:t xml:space="preserve">The modernization program is built on real, production-grade federal technologies: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Microsoft Entra ID</w:t>
      </w:r>
      <w:r>
        <w:t xml:space="preserve"> </w:t>
      </w:r>
      <w:r>
        <w:t xml:space="preserve">— Identity Control Plane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ICAM (NIST 800-63, OMB M-19-17)</w:t>
      </w:r>
      <w:r>
        <w:t xml:space="preserve"> </w:t>
      </w:r>
      <w:r>
        <w:t xml:space="preserve">— Governance backbone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InfoBlox IPAM</w:t>
      </w:r>
      <w:r>
        <w:t xml:space="preserve"> </w:t>
      </w:r>
      <w:r>
        <w:t xml:space="preserve">— Authoritative Addressing Control Plane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Cisco Catalyst SD-WAN</w:t>
      </w:r>
      <w:r>
        <w:t xml:space="preserve"> </w:t>
      </w:r>
      <w:r>
        <w:t xml:space="preserve">— Network Control Plane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Cloud Telemetry + Location Services</w:t>
      </w:r>
      <w:r>
        <w:t xml:space="preserve"> </w:t>
      </w:r>
      <w:r>
        <w:t xml:space="preserve">— Telemetry Control Plane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TIC 3.0 Cloud + Branch</w:t>
      </w:r>
      <w:r>
        <w:t xml:space="preserve"> </w:t>
      </w:r>
      <w:r>
        <w:t xml:space="preserve">— Security &amp; Compliance Plane</w:t>
      </w:r>
    </w:p>
    <w:p>
      <w:pPr>
        <w:pStyle w:val="FirstParagraph"/>
      </w:pPr>
      <w:r>
        <w:t xml:space="preserve">These pillars form the operational substrate of UIAO.</w:t>
      </w:r>
    </w:p>
    <w:bookmarkEnd w:id="28"/>
    <w:bookmarkStart w:id="29" w:name="guiding-principles"/>
    <w:p>
      <w:pPr>
        <w:pStyle w:val="Heading3"/>
      </w:pPr>
      <w:r>
        <w:t xml:space="preserve">1.6.3 6.3 Guiding Principles</w:t>
      </w:r>
    </w:p>
    <w:p>
      <w:pPr>
        <w:pStyle w:val="FirstParagraph"/>
      </w:pPr>
      <w:r>
        <w:t xml:space="preserve">The modernization program is governed by the following principles:</w:t>
      </w:r>
    </w:p>
    <w:p>
      <w:pPr>
        <w:pStyle w:val="Compact"/>
        <w:numPr>
          <w:ilvl w:val="0"/>
          <w:numId w:val="1006"/>
        </w:numPr>
      </w:pPr>
      <w:r>
        <w:t xml:space="preserve">Zero Trust by default</w:t>
      </w:r>
    </w:p>
    <w:p>
      <w:pPr>
        <w:pStyle w:val="Compact"/>
        <w:numPr>
          <w:ilvl w:val="0"/>
          <w:numId w:val="1006"/>
        </w:numPr>
      </w:pPr>
      <w:r>
        <w:t xml:space="preserve">Identity as the new perimeter</w:t>
      </w:r>
    </w:p>
    <w:p>
      <w:pPr>
        <w:pStyle w:val="Compact"/>
        <w:numPr>
          <w:ilvl w:val="0"/>
          <w:numId w:val="1006"/>
        </w:numPr>
      </w:pPr>
      <w:r>
        <w:t xml:space="preserve">Telemetry as the truth source</w:t>
      </w:r>
    </w:p>
    <w:p>
      <w:pPr>
        <w:pStyle w:val="Compact"/>
        <w:numPr>
          <w:ilvl w:val="0"/>
          <w:numId w:val="1006"/>
        </w:numPr>
      </w:pPr>
      <w:r>
        <w:t xml:space="preserve">Cloud-first routing</w:t>
      </w:r>
    </w:p>
    <w:p>
      <w:pPr>
        <w:pStyle w:val="Compact"/>
        <w:numPr>
          <w:ilvl w:val="0"/>
          <w:numId w:val="1006"/>
        </w:numPr>
      </w:pPr>
      <w:r>
        <w:t xml:space="preserve">Incremental modernization (no big-bang)</w:t>
      </w:r>
    </w:p>
    <w:p>
      <w:pPr>
        <w:pStyle w:val="Compact"/>
        <w:numPr>
          <w:ilvl w:val="0"/>
          <w:numId w:val="1006"/>
        </w:numPr>
      </w:pPr>
      <w:r>
        <w:t xml:space="preserve">FedRAMP-aligned controls</w:t>
      </w:r>
    </w:p>
    <w:p>
      <w:pPr>
        <w:pStyle w:val="Compact"/>
        <w:numPr>
          <w:ilvl w:val="0"/>
          <w:numId w:val="1006"/>
        </w:numPr>
      </w:pPr>
      <w:r>
        <w:t xml:space="preserve">Modular, extensible architecture</w:t>
      </w:r>
    </w:p>
    <w:p>
      <w:pPr>
        <w:pStyle w:val="FirstParagraph"/>
      </w:pPr>
      <w:r>
        <w:t xml:space="preserve">These principles ensure modernization is sustainable, compliant, and mission-aligned.</w:t>
      </w:r>
    </w:p>
    <w:bookmarkEnd w:id="29"/>
    <w:bookmarkStart w:id="30" w:name="end-state-vision"/>
    <w:p>
      <w:pPr>
        <w:pStyle w:val="Heading3"/>
      </w:pPr>
      <w:r>
        <w:t xml:space="preserve">1.6.4 6.4 End-State Vision</w:t>
      </w:r>
    </w:p>
    <w:p>
      <w:pPr>
        <w:pStyle w:val="FirstParagraph"/>
      </w:pPr>
      <w:r>
        <w:t xml:space="preserve">The end state is a fully modernized, identity-driven, cloud-optimized, telemetry-rich federal network where:</w:t>
      </w:r>
    </w:p>
    <w:p>
      <w:pPr>
        <w:pStyle w:val="Compact"/>
        <w:numPr>
          <w:ilvl w:val="0"/>
          <w:numId w:val="1007"/>
        </w:numPr>
      </w:pPr>
      <w:r>
        <w:t xml:space="preserve">Identity governs access, addressing, certificates, and policy</w:t>
      </w:r>
    </w:p>
    <w:p>
      <w:pPr>
        <w:pStyle w:val="Compact"/>
        <w:numPr>
          <w:ilvl w:val="0"/>
          <w:numId w:val="1007"/>
        </w:numPr>
      </w:pPr>
      <w:r>
        <w:t xml:space="preserve">Routing is cloud-first and performance-optimized</w:t>
      </w:r>
    </w:p>
    <w:p>
      <w:pPr>
        <w:pStyle w:val="Compact"/>
        <w:numPr>
          <w:ilvl w:val="0"/>
          <w:numId w:val="1007"/>
        </w:numPr>
      </w:pPr>
      <w:r>
        <w:t xml:space="preserve">Addressing is deterministic and identity-derived</w:t>
      </w:r>
    </w:p>
    <w:p>
      <w:pPr>
        <w:pStyle w:val="Compact"/>
        <w:numPr>
          <w:ilvl w:val="0"/>
          <w:numId w:val="1007"/>
        </w:numPr>
      </w:pPr>
      <w:r>
        <w:t xml:space="preserve">Telemetry provides real-time assurance and location inference</w:t>
      </w:r>
    </w:p>
    <w:p>
      <w:pPr>
        <w:pStyle w:val="Compact"/>
        <w:numPr>
          <w:ilvl w:val="0"/>
          <w:numId w:val="1007"/>
        </w:numPr>
      </w:pPr>
      <w:r>
        <w:t xml:space="preserve">Governance is automated and drift-resistant</w:t>
      </w:r>
    </w:p>
    <w:p>
      <w:pPr>
        <w:pStyle w:val="Compact"/>
        <w:numPr>
          <w:ilvl w:val="0"/>
          <w:numId w:val="1007"/>
        </w:numPr>
      </w:pPr>
      <w:r>
        <w:t xml:space="preserve">Security is continuous and Zero Trust-aligned</w:t>
      </w:r>
    </w:p>
    <w:p>
      <w:pPr>
        <w:pStyle w:val="Compact"/>
        <w:numPr>
          <w:ilvl w:val="0"/>
          <w:numId w:val="1007"/>
        </w:numPr>
      </w:pPr>
      <w:r>
        <w:t xml:space="preserve">Citizen experience is prioritized in every decision</w:t>
      </w:r>
    </w:p>
    <w:p>
      <w:pPr>
        <w:pStyle w:val="FirstParagraph"/>
      </w:pPr>
      <w:r>
        <w:t xml:space="preserve">This is the target architecture for the agency.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runtime-model"/>
    <w:p>
      <w:pPr>
        <w:pStyle w:val="Heading2"/>
      </w:pPr>
      <w:r>
        <w:t xml:space="preserve">1.7 7. Runtime Model</w:t>
      </w:r>
    </w:p>
    <w:p>
      <w:pPr>
        <w:pStyle w:val="FirstParagraph"/>
      </w:pPr>
      <w:r>
        <w:t xml:space="preserve">The Program Vision adopts the UIAO runtime model:</w:t>
      </w:r>
    </w:p>
    <w:bookmarkStart w:id="32" w:name="conversation-centric-operation"/>
    <w:p>
      <w:pPr>
        <w:pStyle w:val="Heading3"/>
      </w:pPr>
      <w:r>
        <w:t xml:space="preserve">1.7.1 7.1 Conversation-Centric Operation</w:t>
      </w:r>
    </w:p>
    <w:p>
      <w:pPr>
        <w:pStyle w:val="FirstParagraph"/>
      </w:pPr>
      <w:r>
        <w:t xml:space="preserve">Every interaction is treated as a conversation with:</w:t>
      </w:r>
    </w:p>
    <w:p>
      <w:pPr>
        <w:pStyle w:val="Compact"/>
        <w:numPr>
          <w:ilvl w:val="0"/>
          <w:numId w:val="1008"/>
        </w:numPr>
      </w:pPr>
      <w:r>
        <w:t xml:space="preserve">Identity</w:t>
      </w:r>
    </w:p>
    <w:p>
      <w:pPr>
        <w:pStyle w:val="Compact"/>
        <w:numPr>
          <w:ilvl w:val="0"/>
          <w:numId w:val="1008"/>
        </w:numPr>
      </w:pPr>
      <w:r>
        <w:t xml:space="preserve">Addressing</w:t>
      </w:r>
    </w:p>
    <w:p>
      <w:pPr>
        <w:pStyle w:val="Compact"/>
        <w:numPr>
          <w:ilvl w:val="0"/>
          <w:numId w:val="1008"/>
        </w:numPr>
      </w:pPr>
      <w:r>
        <w:t xml:space="preserve">Certificates</w:t>
      </w:r>
    </w:p>
    <w:p>
      <w:pPr>
        <w:pStyle w:val="Compact"/>
        <w:numPr>
          <w:ilvl w:val="0"/>
          <w:numId w:val="1008"/>
        </w:numPr>
      </w:pPr>
      <w:r>
        <w:t xml:space="preserve">Path</w:t>
      </w:r>
    </w:p>
    <w:p>
      <w:pPr>
        <w:pStyle w:val="Compact"/>
        <w:numPr>
          <w:ilvl w:val="0"/>
          <w:numId w:val="1008"/>
        </w:numPr>
      </w:pPr>
      <w:r>
        <w:t xml:space="preserve">QoS</w:t>
      </w:r>
    </w:p>
    <w:p>
      <w:pPr>
        <w:pStyle w:val="Compact"/>
        <w:numPr>
          <w:ilvl w:val="0"/>
          <w:numId w:val="1008"/>
        </w:numPr>
      </w:pPr>
      <w:r>
        <w:t xml:space="preserve">Telemetry</w:t>
      </w:r>
    </w:p>
    <w:p>
      <w:pPr>
        <w:pStyle w:val="FirstParagraph"/>
      </w:pPr>
      <w:r>
        <w:t xml:space="preserve">bound together as a single correlated unit.</w:t>
      </w:r>
    </w:p>
    <w:bookmarkEnd w:id="32"/>
    <w:bookmarkStart w:id="33" w:name="deterministic-behavior"/>
    <w:p>
      <w:pPr>
        <w:pStyle w:val="Heading3"/>
      </w:pPr>
      <w:r>
        <w:t xml:space="preserve">1.7.2 7.2 Deterministic Behavior</w:t>
      </w:r>
    </w:p>
    <w:p>
      <w:pPr>
        <w:pStyle w:val="FirstParagraph"/>
      </w:pPr>
      <w:r>
        <w:t xml:space="preserve">Given identical identity, boundary, telemetry, and assurance inputs, the system produces identical decisions across clouds and agencies.</w:t>
      </w:r>
    </w:p>
    <w:bookmarkEnd w:id="33"/>
    <w:bookmarkStart w:id="34" w:name="continuous-evaluation"/>
    <w:p>
      <w:pPr>
        <w:pStyle w:val="Heading3"/>
      </w:pPr>
      <w:r>
        <w:t xml:space="preserve">1.7.3 7.3 Continuous Evaluation</w:t>
      </w:r>
    </w:p>
    <w:p>
      <w:pPr>
        <w:pStyle w:val="FirstParagraph"/>
      </w:pPr>
      <w:r>
        <w:t xml:space="preserve">Telemetry continuously informs:</w:t>
      </w:r>
    </w:p>
    <w:p>
      <w:pPr>
        <w:pStyle w:val="Compact"/>
        <w:numPr>
          <w:ilvl w:val="0"/>
          <w:numId w:val="1009"/>
        </w:numPr>
      </w:pPr>
      <w:r>
        <w:t xml:space="preserve">Routing</w:t>
      </w:r>
    </w:p>
    <w:p>
      <w:pPr>
        <w:pStyle w:val="Compact"/>
        <w:numPr>
          <w:ilvl w:val="0"/>
          <w:numId w:val="1009"/>
        </w:numPr>
      </w:pPr>
      <w:r>
        <w:t xml:space="preserve">Access</w:t>
      </w:r>
    </w:p>
    <w:p>
      <w:pPr>
        <w:pStyle w:val="Compact"/>
        <w:numPr>
          <w:ilvl w:val="0"/>
          <w:numId w:val="1009"/>
        </w:numPr>
      </w:pPr>
      <w:r>
        <w:t xml:space="preserve">Segmentation</w:t>
      </w:r>
    </w:p>
    <w:p>
      <w:pPr>
        <w:pStyle w:val="Compact"/>
        <w:numPr>
          <w:ilvl w:val="0"/>
          <w:numId w:val="1009"/>
        </w:numPr>
      </w:pPr>
      <w:r>
        <w:t xml:space="preserve">Compliance posture</w:t>
      </w:r>
    </w:p>
    <w:p>
      <w:pPr>
        <w:pStyle w:val="FirstParagraph"/>
      </w:pPr>
      <w:r>
        <w:t xml:space="preserve">This ensures real-time alignment with Zero Trust and FedRAMP 20x.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compliance-mapping"/>
    <w:p>
      <w:pPr>
        <w:pStyle w:val="Heading2"/>
      </w:pPr>
      <w:r>
        <w:t xml:space="preserve">1.8 8. Compliance Mapping</w:t>
      </w:r>
    </w:p>
    <w:p>
      <w:pPr>
        <w:pStyle w:val="FirstParagraph"/>
      </w:pPr>
      <w:r>
        <w:t xml:space="preserve">The Program Vision aligns with:</w:t>
      </w:r>
    </w:p>
    <w:bookmarkStart w:id="36" w:name="fedramp-20x"/>
    <w:p>
      <w:pPr>
        <w:pStyle w:val="Heading3"/>
      </w:pPr>
      <w:r>
        <w:t xml:space="preserve">1.8.1 8.1 FedRAMP 20x</w:t>
      </w:r>
    </w:p>
    <w:p>
      <w:pPr>
        <w:pStyle w:val="Compact"/>
        <w:numPr>
          <w:ilvl w:val="0"/>
          <w:numId w:val="1010"/>
        </w:numPr>
      </w:pPr>
      <w:r>
        <w:t xml:space="preserve">Class C (Moderate)</w:t>
      </w:r>
    </w:p>
    <w:p>
      <w:pPr>
        <w:pStyle w:val="Compact"/>
        <w:numPr>
          <w:ilvl w:val="0"/>
          <w:numId w:val="1010"/>
        </w:numPr>
      </w:pPr>
      <w:r>
        <w:t xml:space="preserve">Telemetry-based validation</w:t>
      </w:r>
    </w:p>
    <w:p>
      <w:pPr>
        <w:pStyle w:val="Compact"/>
        <w:numPr>
          <w:ilvl w:val="0"/>
          <w:numId w:val="1010"/>
        </w:numPr>
      </w:pPr>
      <w:r>
        <w:t xml:space="preserve">OSCAL machine-readability</w:t>
      </w:r>
    </w:p>
    <w:p>
      <w:pPr>
        <w:pStyle w:val="Compact"/>
        <w:numPr>
          <w:ilvl w:val="0"/>
          <w:numId w:val="1010"/>
        </w:numPr>
      </w:pPr>
      <w:r>
        <w:t xml:space="preserve">Automated evidence generation</w:t>
      </w:r>
    </w:p>
    <w:bookmarkEnd w:id="36"/>
    <w:bookmarkStart w:id="37" w:name="tic-3.0"/>
    <w:p>
      <w:pPr>
        <w:pStyle w:val="Heading3"/>
      </w:pPr>
      <w:r>
        <w:t xml:space="preserve">1.8.2 8.2 TIC 3.0</w:t>
      </w:r>
    </w:p>
    <w:p>
      <w:pPr>
        <w:pStyle w:val="Compact"/>
        <w:numPr>
          <w:ilvl w:val="0"/>
          <w:numId w:val="1011"/>
        </w:numPr>
      </w:pPr>
      <w:r>
        <w:t xml:space="preserve">Cloud Use Case</w:t>
      </w:r>
    </w:p>
    <w:p>
      <w:pPr>
        <w:pStyle w:val="Compact"/>
        <w:numPr>
          <w:ilvl w:val="0"/>
          <w:numId w:val="1011"/>
        </w:numPr>
      </w:pPr>
      <w:r>
        <w:t xml:space="preserve">Branch Use Case</w:t>
      </w:r>
    </w:p>
    <w:p>
      <w:pPr>
        <w:pStyle w:val="Compact"/>
        <w:numPr>
          <w:ilvl w:val="0"/>
          <w:numId w:val="1011"/>
        </w:numPr>
      </w:pPr>
      <w:r>
        <w:t xml:space="preserve">Identity-centric segmentation</w:t>
      </w:r>
    </w:p>
    <w:bookmarkEnd w:id="37"/>
    <w:bookmarkStart w:id="38" w:name="nist-800-63"/>
    <w:p>
      <w:pPr>
        <w:pStyle w:val="Heading3"/>
      </w:pPr>
      <w:r>
        <w:t xml:space="preserve">1.8.3 8.3 NIST 800-63</w:t>
      </w:r>
    </w:p>
    <w:p>
      <w:pPr>
        <w:pStyle w:val="Compact"/>
        <w:numPr>
          <w:ilvl w:val="0"/>
          <w:numId w:val="1012"/>
        </w:numPr>
      </w:pPr>
      <w:r>
        <w:t xml:space="preserve">Identity assurance</w:t>
      </w:r>
    </w:p>
    <w:p>
      <w:pPr>
        <w:pStyle w:val="Compact"/>
        <w:numPr>
          <w:ilvl w:val="0"/>
          <w:numId w:val="1012"/>
        </w:numPr>
      </w:pPr>
      <w:r>
        <w:t xml:space="preserve">Authentication modernization</w:t>
      </w:r>
    </w:p>
    <w:p>
      <w:pPr>
        <w:pStyle w:val="Compact"/>
        <w:numPr>
          <w:ilvl w:val="0"/>
          <w:numId w:val="1012"/>
        </w:numPr>
      </w:pPr>
      <w:r>
        <w:t xml:space="preserve">ICAM governance</w:t>
      </w:r>
    </w:p>
    <w:bookmarkEnd w:id="38"/>
    <w:bookmarkStart w:id="39" w:name="scuba"/>
    <w:p>
      <w:pPr>
        <w:pStyle w:val="Heading3"/>
      </w:pPr>
      <w:r>
        <w:t xml:space="preserve">1.8.4 8.4 SCuBA</w:t>
      </w:r>
    </w:p>
    <w:p>
      <w:pPr>
        <w:pStyle w:val="Compact"/>
        <w:numPr>
          <w:ilvl w:val="0"/>
          <w:numId w:val="1013"/>
        </w:numPr>
      </w:pPr>
      <w:r>
        <w:t xml:space="preserve">M365 hardening</w:t>
      </w:r>
    </w:p>
    <w:p>
      <w:pPr>
        <w:pStyle w:val="Compact"/>
        <w:numPr>
          <w:ilvl w:val="0"/>
          <w:numId w:val="1013"/>
        </w:numPr>
      </w:pPr>
      <w:r>
        <w:t xml:space="preserve">Identity governance</w:t>
      </w:r>
    </w:p>
    <w:p>
      <w:pPr>
        <w:pStyle w:val="Compact"/>
        <w:numPr>
          <w:ilvl w:val="0"/>
          <w:numId w:val="1013"/>
        </w:numPr>
      </w:pPr>
      <w:r>
        <w:t xml:space="preserve">Telemetry integration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dependencies-sequencing"/>
    <w:p>
      <w:pPr>
        <w:pStyle w:val="Heading2"/>
      </w:pPr>
      <w:r>
        <w:t xml:space="preserve">1.9 9. Dependencies &amp; Sequencing</w:t>
      </w:r>
    </w:p>
    <w:bookmarkStart w:id="41" w:name="upstream-dependencies"/>
    <w:p>
      <w:pPr>
        <w:pStyle w:val="Heading3"/>
      </w:pPr>
      <w:r>
        <w:t xml:space="preserve">1.9.1 Upstream Dependencies</w:t>
      </w:r>
    </w:p>
    <w:p>
      <w:pPr>
        <w:pStyle w:val="Compact"/>
        <w:numPr>
          <w:ilvl w:val="0"/>
          <w:numId w:val="1014"/>
        </w:numPr>
      </w:pPr>
      <w:r>
        <w:t xml:space="preserve">Identity modernization</w:t>
      </w:r>
    </w:p>
    <w:p>
      <w:pPr>
        <w:pStyle w:val="Compact"/>
        <w:numPr>
          <w:ilvl w:val="0"/>
          <w:numId w:val="1014"/>
        </w:numPr>
      </w:pPr>
      <w:r>
        <w:t xml:space="preserve">Network modernization</w:t>
      </w:r>
    </w:p>
    <w:p>
      <w:pPr>
        <w:pStyle w:val="Compact"/>
        <w:numPr>
          <w:ilvl w:val="0"/>
          <w:numId w:val="1014"/>
        </w:numPr>
      </w:pPr>
      <w:r>
        <w:t xml:space="preserve">IPAM modernization</w:t>
      </w:r>
    </w:p>
    <w:p>
      <w:pPr>
        <w:pStyle w:val="Compact"/>
        <w:numPr>
          <w:ilvl w:val="0"/>
          <w:numId w:val="1014"/>
        </w:numPr>
      </w:pPr>
      <w:r>
        <w:t xml:space="preserve">Telemetry integration</w:t>
      </w:r>
    </w:p>
    <w:bookmarkEnd w:id="41"/>
    <w:bookmarkStart w:id="42" w:name="downstream-dependencies"/>
    <w:p>
      <w:pPr>
        <w:pStyle w:val="Heading3"/>
      </w:pPr>
      <w:r>
        <w:t xml:space="preserve">1.9.2 Downstream Dependencies</w:t>
      </w:r>
    </w:p>
    <w:p>
      <w:pPr>
        <w:pStyle w:val="Compact"/>
        <w:numPr>
          <w:ilvl w:val="0"/>
          <w:numId w:val="1015"/>
        </w:numPr>
      </w:pPr>
      <w:r>
        <w:t xml:space="preserve">Leadership briefing</w:t>
      </w:r>
    </w:p>
    <w:p>
      <w:pPr>
        <w:pStyle w:val="Compact"/>
        <w:numPr>
          <w:ilvl w:val="0"/>
          <w:numId w:val="1015"/>
        </w:numPr>
      </w:pPr>
      <w:r>
        <w:t xml:space="preserve">Modernization timeline</w:t>
      </w:r>
    </w:p>
    <w:p>
      <w:pPr>
        <w:pStyle w:val="Compact"/>
        <w:numPr>
          <w:ilvl w:val="0"/>
          <w:numId w:val="1015"/>
        </w:numPr>
      </w:pPr>
      <w:r>
        <w:t xml:space="preserve">TIC 3.0 packages</w:t>
      </w:r>
    </w:p>
    <w:p>
      <w:pPr>
        <w:pStyle w:val="Compact"/>
        <w:numPr>
          <w:ilvl w:val="0"/>
          <w:numId w:val="1015"/>
        </w:numPr>
      </w:pPr>
      <w:r>
        <w:t xml:space="preserve">FedRAMP crosswalk</w:t>
      </w:r>
    </w:p>
    <w:bookmarkEnd w:id="42"/>
    <w:bookmarkStart w:id="43" w:name="timeline-alignment"/>
    <w:p>
      <w:pPr>
        <w:pStyle w:val="Heading3"/>
      </w:pPr>
      <w:r>
        <w:t xml:space="preserve">1.9.3 Timeline Alignment</w:t>
      </w:r>
    </w:p>
    <w:p>
      <w:pPr>
        <w:pStyle w:val="FirstParagraph"/>
      </w:pPr>
      <w:r>
        <w:t xml:space="preserve">The Program Vision informs all phases of the modernization timeline.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governance-drift-controls"/>
    <w:p>
      <w:pPr>
        <w:pStyle w:val="Heading2"/>
      </w:pPr>
      <w:r>
        <w:t xml:space="preserve">1.10 10. Governance &amp; Drift Controls</w:t>
      </w:r>
    </w:p>
    <w:bookmarkStart w:id="45" w:name="source-of-authority"/>
    <w:p>
      <w:pPr>
        <w:pStyle w:val="Heading3"/>
      </w:pPr>
      <w:r>
        <w:t xml:space="preserve">1.10.1 Source of Authority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Authority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lifecycle</w:t>
            </w:r>
          </w:p>
        </w:tc>
        <w:tc>
          <w:tcPr/>
          <w:p>
            <w:pPr>
              <w:pStyle w:val="Compact"/>
            </w:pPr>
            <w:r>
              <w:t xml:space="preserve">HR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Addressing</w:t>
            </w:r>
          </w:p>
        </w:tc>
        <w:tc>
          <w:tcPr/>
          <w:p>
            <w:pPr>
              <w:pStyle w:val="Compact"/>
            </w:pPr>
            <w:r>
              <w:t xml:space="preserve">Network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Certificate trust</w:t>
            </w:r>
          </w:p>
        </w:tc>
        <w:tc>
          <w:tcPr/>
          <w:p>
            <w:pPr>
              <w:pStyle w:val="Compact"/>
            </w:pPr>
            <w:r>
              <w:t xml:space="preserve">PKI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Configuration baselines</w:t>
            </w:r>
          </w:p>
        </w:tc>
        <w:tc>
          <w:tcPr/>
          <w:p>
            <w:pPr>
              <w:pStyle w:val="Compact"/>
            </w:pPr>
            <w:r>
              <w:t xml:space="preserve">System owners</w:t>
            </w:r>
          </w:p>
        </w:tc>
      </w:tr>
    </w:tbl>
    <w:bookmarkEnd w:id="45"/>
    <w:bookmarkStart w:id="46" w:name="drift-detection"/>
    <w:p>
      <w:pPr>
        <w:pStyle w:val="Heading3"/>
      </w:pPr>
      <w:r>
        <w:t xml:space="preserve">1.10.2 Drift Detection</w:t>
      </w:r>
    </w:p>
    <w:p>
      <w:pPr>
        <w:pStyle w:val="Compact"/>
        <w:numPr>
          <w:ilvl w:val="0"/>
          <w:numId w:val="1016"/>
        </w:numPr>
      </w:pPr>
      <w:r>
        <w:t xml:space="preserve">CMDB reconciliation</w:t>
      </w:r>
    </w:p>
    <w:p>
      <w:pPr>
        <w:pStyle w:val="Compact"/>
        <w:numPr>
          <w:ilvl w:val="0"/>
          <w:numId w:val="1016"/>
        </w:numPr>
      </w:pPr>
      <w:r>
        <w:t xml:space="preserve">Intune compliance</w:t>
      </w:r>
    </w:p>
    <w:p>
      <w:pPr>
        <w:pStyle w:val="Compact"/>
        <w:numPr>
          <w:ilvl w:val="0"/>
          <w:numId w:val="1016"/>
        </w:numPr>
      </w:pPr>
      <w:r>
        <w:t xml:space="preserve">SD-WAN overlay validation</w:t>
      </w:r>
    </w:p>
    <w:p>
      <w:pPr>
        <w:pStyle w:val="Compact"/>
        <w:numPr>
          <w:ilvl w:val="0"/>
          <w:numId w:val="1016"/>
        </w:numPr>
      </w:pPr>
      <w:r>
        <w:t xml:space="preserve">IPAM reconciliation</w:t>
      </w:r>
    </w:p>
    <w:bookmarkEnd w:id="46"/>
    <w:bookmarkStart w:id="47" w:name="remediation-workflow"/>
    <w:p>
      <w:pPr>
        <w:pStyle w:val="Heading3"/>
      </w:pPr>
      <w:r>
        <w:t xml:space="preserve">1.10.3 Remediation Workflow</w:t>
      </w:r>
    </w:p>
    <w:p>
      <w:pPr>
        <w:pStyle w:val="Compact"/>
        <w:numPr>
          <w:ilvl w:val="0"/>
          <w:numId w:val="1017"/>
        </w:numPr>
      </w:pPr>
      <w:r>
        <w:t xml:space="preserve">Automated ServiceNow change</w:t>
      </w:r>
    </w:p>
    <w:p>
      <w:pPr>
        <w:pStyle w:val="Compact"/>
        <w:numPr>
          <w:ilvl w:val="0"/>
          <w:numId w:val="1017"/>
        </w:numPr>
      </w:pPr>
      <w:r>
        <w:t xml:space="preserve">Conditional Access enforcement</w:t>
      </w:r>
    </w:p>
    <w:p>
      <w:pPr>
        <w:pStyle w:val="Compact"/>
        <w:numPr>
          <w:ilvl w:val="0"/>
          <w:numId w:val="1017"/>
        </w:numPr>
      </w:pPr>
      <w:r>
        <w:t xml:space="preserve">Certificate renewal</w:t>
      </w:r>
    </w:p>
    <w:p>
      <w:pPr>
        <w:pStyle w:val="Compact"/>
        <w:numPr>
          <w:ilvl w:val="0"/>
          <w:numId w:val="1017"/>
        </w:numPr>
      </w:pPr>
      <w:r>
        <w:t xml:space="preserve">IPAM correction</w:t>
      </w:r>
    </w:p>
    <w:bookmarkEnd w:id="47"/>
    <w:bookmarkStart w:id="48" w:name="audit-anchors"/>
    <w:p>
      <w:pPr>
        <w:pStyle w:val="Heading3"/>
      </w:pPr>
      <w:r>
        <w:t xml:space="preserve">1.10.4 Audit Anchors</w:t>
      </w:r>
    </w:p>
    <w:p>
      <w:pPr>
        <w:pStyle w:val="Compact"/>
        <w:numPr>
          <w:ilvl w:val="0"/>
          <w:numId w:val="1018"/>
        </w:numPr>
      </w:pPr>
      <w:r>
        <w:t xml:space="preserve">Entra ID logs</w:t>
      </w:r>
    </w:p>
    <w:p>
      <w:pPr>
        <w:pStyle w:val="Compact"/>
        <w:numPr>
          <w:ilvl w:val="0"/>
          <w:numId w:val="1018"/>
        </w:numPr>
      </w:pPr>
      <w:r>
        <w:t xml:space="preserve">Infoblox API records</w:t>
      </w:r>
    </w:p>
    <w:p>
      <w:pPr>
        <w:pStyle w:val="Compact"/>
        <w:numPr>
          <w:ilvl w:val="0"/>
          <w:numId w:val="1018"/>
        </w:numPr>
      </w:pPr>
      <w:r>
        <w:t xml:space="preserve">SD-WAN telemetry</w:t>
      </w:r>
    </w:p>
    <w:p>
      <w:pPr>
        <w:pStyle w:val="Compact"/>
        <w:numPr>
          <w:ilvl w:val="0"/>
          <w:numId w:val="1018"/>
        </w:numPr>
      </w:pPr>
      <w:r>
        <w:t xml:space="preserve">Intune compliance reports</w:t>
      </w:r>
    </w:p>
    <w:p>
      <w:pPr>
        <w:pStyle w:val="Compact"/>
        <w:numPr>
          <w:ilvl w:val="0"/>
          <w:numId w:val="1018"/>
        </w:numPr>
      </w:pPr>
      <w:r>
        <w:t xml:space="preserve">ServiceNow audit trails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appendices"/>
    <w:p>
      <w:pPr>
        <w:pStyle w:val="Heading2"/>
      </w:pPr>
      <w:r>
        <w:t xml:space="preserve">1.11 11. Appendices</w:t>
      </w:r>
    </w:p>
    <w:bookmarkStart w:id="50" w:name="appendix-a-definitions"/>
    <w:p>
      <w:pPr>
        <w:pStyle w:val="Heading3"/>
      </w:pPr>
      <w:r>
        <w:t xml:space="preserve">1.11.1 Appendix A: Definitions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docs/glossary.md</w:t>
      </w:r>
    </w:p>
    <w:bookmarkEnd w:id="50"/>
    <w:bookmarkStart w:id="51" w:name="appendix-b-tables"/>
    <w:p>
      <w:pPr>
        <w:pStyle w:val="Heading3"/>
      </w:pPr>
      <w:r>
        <w:t xml:space="preserve">1.11.2 Appendix B: Tables</w:t>
      </w:r>
    </w:p>
    <w:p>
      <w:pPr>
        <w:pStyle w:val="FirstParagraph"/>
      </w:pPr>
      <w:r>
        <w:rPr>
          <w:i/>
          <w:iCs/>
        </w:rPr>
        <w:t xml:space="preserve">Control Plane Alignment table is in Section 4. Technology Pillars are in Section 6.2.</w:t>
      </w:r>
    </w:p>
    <w:bookmarkEnd w:id="51"/>
    <w:bookmarkStart w:id="52" w:name="appendix-c-diagram-references"/>
    <w:p>
      <w:pPr>
        <w:pStyle w:val="Heading3"/>
      </w:pPr>
      <w:r>
        <w:t xml:space="preserve">1.11.3 Appendix C: Diagram References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docs/images/</w:t>
      </w:r>
      <w:r>
        <w:rPr>
          <w:i/>
          <w:iCs/>
        </w:rPr>
        <w:t xml:space="preserve"> </w:t>
      </w:r>
      <w:r>
        <w:rPr>
          <w:i/>
          <w:iCs/>
        </w:rPr>
        <w:t xml:space="preserve">for all referenced architecture diagrams.</w:t>
      </w:r>
    </w:p>
    <w:bookmarkEnd w:id="52"/>
    <w:bookmarkStart w:id="53" w:name="appendix-d-evidence-sources"/>
    <w:p>
      <w:pPr>
        <w:pStyle w:val="Heading3"/>
      </w:pPr>
      <w:r>
        <w:t xml:space="preserve">1.11.4 Appendix D: Evidence Sources</w:t>
      </w:r>
    </w:p>
    <w:p>
      <w:pPr>
        <w:pStyle w:val="FirstParagraph"/>
      </w:pPr>
      <w:r>
        <w:rPr>
          <w:i/>
          <w:iCs/>
        </w:rPr>
        <w:t xml:space="preserve">See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data/parameters.yml</w:t>
      </w:r>
      <w:r>
        <w:rPr>
          <w:i/>
          <w:iCs/>
        </w:rPr>
        <w:t xml:space="preserve"> </w:t>
      </w:r>
      <w:r>
        <w:rPr>
          <w:i/>
          <w:iCs/>
        </w:rPr>
        <w:t xml:space="preserve">and control-library entries for evidence source catalogs.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revision-history"/>
    <w:p>
      <w:pPr>
        <w:pStyle w:val="Heading2"/>
      </w:pPr>
      <w:r>
        <w:t xml:space="preserve">1.12 12.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Summary of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t xml:space="preserve">UIAO Canon Engine</w:t>
            </w:r>
          </w:p>
        </w:tc>
        <w:tc>
          <w:tcPr/>
          <w:p>
            <w:pPr>
              <w:pStyle w:val="Compact"/>
            </w:pPr>
            <w:r>
              <w:t xml:space="preserve">Initial canonical release</w:t>
            </w:r>
          </w:p>
        </w:tc>
      </w:tr>
    </w:tbl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Programvision</dc:title>
  <dc:creator>UIAO Modernization Program</dc:creator>
  <dc:language>en</dc:language>
  <cp:keywords/>
  <dcterms:created xsi:type="dcterms:W3CDTF">2026-03-31T17:31:28Z</dcterms:created>
  <dcterms:modified xsi:type="dcterms:W3CDTF">2026-03-31T17:31:28Z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rossref">
    <vt:lpwstr/>
  </property>
  <property fmtid="{D5CDD505-2E9C-101B-9397-08002B2CF9AE}" pid="6" name="date">
    <vt:lpwstr>March 31, 2026</vt:lpwstr>
  </property>
  <property fmtid="{D5CDD505-2E9C-101B-9397-08002B2CF9AE}" pid="7" name="date-format">
    <vt:lpwstr>MMMM D, YYYY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mermaid">
    <vt:lpwstr/>
  </property>
  <property fmtid="{D5CDD505-2E9C-101B-9397-08002B2CF9AE}" pid="13" name="toc-title">
    <vt:lpwstr>Table of contents</vt:lpwstr>
  </property>
</Properties>
</file>