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22</w:t>
      </w:r>
      <w:r>
        <w:t xml:space="preserve"> </w:t>
      </w:r>
      <w:r>
        <w:t xml:space="preserve">Compliance</w:t>
      </w:r>
      <w:r>
        <w:t xml:space="preserve"> </w:t>
      </w:r>
      <w:r>
        <w:t xml:space="preserve">Summary</w:t>
      </w:r>
    </w:p>
    <w:bookmarkStart w:id="20" w:name="uiao-fedramp-22-compliance-summary"/>
    <w:p>
      <w:pPr>
        <w:pStyle w:val="Heading1"/>
      </w:pPr>
      <w:r>
        <w:t xml:space="preserve">UIAO FedRAMP 22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architecture-supporting-fedramp-22"/>
    <w:p>
      <w:pPr>
        <w:pStyle w:val="Heading1"/>
      </w:pPr>
      <w:r>
        <w:t xml:space="preserve">Architecture Supporting FedRAMP 22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fedramp-22"/>
    <w:p>
      <w:pPr>
        <w:pStyle w:val="Heading1"/>
      </w:pPr>
      <w:r>
        <w:t xml:space="preserve">Core Concepts Supporting FedRAMP 22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FedRAMP 22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22 Compliance Summary</dc:title>
  <dc:creator/>
  <cp:keywords/>
  <dcterms:created xsi:type="dcterms:W3CDTF">2026-03-20T16:31:33Z</dcterms:created>
  <dcterms:modified xsi:type="dcterms:W3CDTF">2026-03-20T16:31:33Z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