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5" w:name="X7a4f43224da4ceff5ab1e19aaf68a956f5bb047"/>
    <w:p>
      <w:pPr>
        <w:pStyle w:val="Heading1"/>
      </w:pPr>
      <w:r>
        <w:t xml:space="preserve">Unified Identity-Addressing-Overlay Architecture - Unified Architecture</w:t>
      </w:r>
    </w:p>
    <w:p>
      <w:pPr>
        <w:pStyle w:val="FirstParagraph"/>
      </w:pPr>
      <w:r>
        <w:t xml:space="preserve">The architecture is composed of five interlocking control planes.</w:t>
      </w:r>
    </w:p>
    <w:p>
      <w:r>
        <w:pict>
          <v:rect style="width:0;height:1.5pt" o:hralign="center" o:hrstd="t" o:hr="t"/>
        </w:pict>
      </w:r>
    </w:p>
    <w:bookmarkStart w:id="20" w:name="identity-control-plane"/>
    <w:p>
      <w:pPr>
        <w:pStyle w:val="Heading2"/>
      </w:pPr>
      <w:r>
        <w:t xml:space="preserve">Identity Control Plane</w:t>
      </w:r>
    </w:p>
    <w:p>
      <w:pPr>
        <w:numPr>
          <w:ilvl w:val="0"/>
          <w:numId w:val="1001"/>
        </w:numPr>
      </w:pPr>
      <w:r>
        <w:t xml:space="preserve">Entra ID</w:t>
      </w:r>
    </w:p>
    <w:p>
      <w:pPr>
        <w:numPr>
          <w:ilvl w:val="0"/>
          <w:numId w:val="1001"/>
        </w:numPr>
      </w:pPr>
      <w:r>
        <w:t xml:space="preserve">ICAM governance</w:t>
      </w:r>
    </w:p>
    <w:p>
      <w:pPr>
        <w:numPr>
          <w:ilvl w:val="0"/>
          <w:numId w:val="1001"/>
        </w:numPr>
      </w:pPr>
      <w:r>
        <w:t xml:space="preserve">Conditional Access</w:t>
      </w:r>
    </w:p>
    <w:p>
      <w:pPr>
        <w:numPr>
          <w:ilvl w:val="0"/>
          <w:numId w:val="1001"/>
        </w:numPr>
      </w:pPr>
      <w:r>
        <w:t xml:space="preserve">PIM</w:t>
      </w:r>
    </w:p>
    <w:p>
      <w:pPr>
        <w:numPr>
          <w:ilvl w:val="0"/>
          <w:numId w:val="1001"/>
        </w:numPr>
      </w:pPr>
      <w:r>
        <w:t xml:space="preserve">Lifecycle automation</w:t>
      </w:r>
    </w:p>
    <w:p>
      <w:r>
        <w:pict>
          <v:rect style="width:0;height:1.5pt" o:hralign="center" o:hrstd="t" o:hr="t"/>
        </w:pict>
      </w:r>
    </w:p>
    <w:bookmarkEnd w:id="20"/>
    <w:bookmarkStart w:id="21" w:name="network-control-plane"/>
    <w:p>
      <w:pPr>
        <w:pStyle w:val="Heading2"/>
      </w:pPr>
      <w:r>
        <w:t xml:space="preserve">Network Control Plane</w:t>
      </w:r>
    </w:p>
    <w:p>
      <w:pPr>
        <w:numPr>
          <w:ilvl w:val="0"/>
          <w:numId w:val="1002"/>
        </w:numPr>
      </w:pPr>
      <w:r>
        <w:t xml:space="preserve">Cisco Catalyst SD-WAN</w:t>
      </w:r>
    </w:p>
    <w:p>
      <w:pPr>
        <w:numPr>
          <w:ilvl w:val="0"/>
          <w:numId w:val="1002"/>
        </w:numPr>
      </w:pPr>
      <w:r>
        <w:t xml:space="preserve">Cloud OnRamp for M365</w:t>
      </w:r>
    </w:p>
    <w:p>
      <w:pPr>
        <w:numPr>
          <w:ilvl w:val="0"/>
          <w:numId w:val="1002"/>
        </w:numPr>
      </w:pPr>
      <w:r>
        <w:t xml:space="preserve">INR integration</w:t>
      </w:r>
    </w:p>
    <w:p>
      <w:pPr>
        <w:numPr>
          <w:ilvl w:val="0"/>
          <w:numId w:val="1002"/>
        </w:numPr>
      </w:pPr>
      <w:r>
        <w:t xml:space="preserve">Zero Trust segmentation</w:t>
      </w:r>
    </w:p>
    <w:p>
      <w:r>
        <w:pict>
          <v:rect style="width:0;height:1.5pt" o:hralign="center" o:hrstd="t" o:hr="t"/>
        </w:pict>
      </w:r>
    </w:p>
    <w:bookmarkEnd w:id="21"/>
    <w:bookmarkStart w:id="22" w:name="addressing-control-plane"/>
    <w:p>
      <w:pPr>
        <w:pStyle w:val="Heading2"/>
      </w:pPr>
      <w:r>
        <w:t xml:space="preserve">Addressing Control Plane</w:t>
      </w:r>
    </w:p>
    <w:p>
      <w:pPr>
        <w:numPr>
          <w:ilvl w:val="0"/>
          <w:numId w:val="1003"/>
        </w:numPr>
      </w:pPr>
      <w:r>
        <w:t xml:space="preserve">InfoBlox IPAM</w:t>
      </w:r>
    </w:p>
    <w:p>
      <w:pPr>
        <w:numPr>
          <w:ilvl w:val="0"/>
          <w:numId w:val="1003"/>
        </w:numPr>
      </w:pPr>
      <w:r>
        <w:t xml:space="preserve">DNS/DHCP modernization</w:t>
      </w:r>
    </w:p>
    <w:p>
      <w:pPr>
        <w:numPr>
          <w:ilvl w:val="0"/>
          <w:numId w:val="1003"/>
        </w:numPr>
      </w:pPr>
      <w:r>
        <w:t xml:space="preserve">Cloud IPAM reconciliation</w:t>
      </w:r>
    </w:p>
    <w:p>
      <w:r>
        <w:pict>
          <v:rect style="width:0;height:1.5pt" o:hralign="center" o:hrstd="t" o:hr="t"/>
        </w:pict>
      </w:r>
    </w:p>
    <w:bookmarkEnd w:id="22"/>
    <w:bookmarkStart w:id="23" w:name="telemetry-and-location-control-plane"/>
    <w:p>
      <w:pPr>
        <w:pStyle w:val="Heading2"/>
      </w:pPr>
      <w:r>
        <w:t xml:space="preserve">Telemetry and Location Control Plane</w:t>
      </w:r>
    </w:p>
    <w:p>
      <w:pPr>
        <w:numPr>
          <w:ilvl w:val="0"/>
          <w:numId w:val="1004"/>
        </w:numPr>
      </w:pPr>
      <w:r>
        <w:t xml:space="preserve">M365 Network Telemetry</w:t>
      </w:r>
    </w:p>
    <w:p>
      <w:pPr>
        <w:numPr>
          <w:ilvl w:val="0"/>
          <w:numId w:val="1004"/>
        </w:numPr>
      </w:pPr>
      <w:r>
        <w:t xml:space="preserve">SD-WAN telemetry (IPFIX/SNMP/syslog)</w:t>
      </w:r>
    </w:p>
    <w:p>
      <w:pPr>
        <w:numPr>
          <w:ilvl w:val="0"/>
          <w:numId w:val="1004"/>
        </w:numPr>
      </w:pPr>
      <w:r>
        <w:t xml:space="preserve">Endpoint telemetry (Defender/Intune)</w:t>
      </w:r>
    </w:p>
    <w:p>
      <w:pPr>
        <w:numPr>
          <w:ilvl w:val="0"/>
          <w:numId w:val="1004"/>
        </w:numPr>
      </w:pPr>
      <w:r>
        <w:t xml:space="preserve">DNS telemetry (InfoBlox)</w:t>
      </w:r>
    </w:p>
    <w:p>
      <w:pPr>
        <w:numPr>
          <w:ilvl w:val="0"/>
          <w:numId w:val="1004"/>
        </w:numPr>
      </w:pPr>
      <w:r>
        <w:t xml:space="preserve">CDM/CLAW reporting</w:t>
      </w:r>
    </w:p>
    <w:p>
      <w:pPr>
        <w:numPr>
          <w:ilvl w:val="0"/>
          <w:numId w:val="1004"/>
        </w:numPr>
      </w:pPr>
      <w:r>
        <w:t xml:space="preserve">SIEM ingestion</w:t>
      </w:r>
    </w:p>
    <w:p>
      <w:r>
        <w:pict>
          <v:rect style="width:0;height:1.5pt" o:hralign="center" o:hrstd="t" o:hr="t"/>
        </w:pict>
      </w:r>
    </w:p>
    <w:bookmarkEnd w:id="23"/>
    <w:bookmarkStart w:id="24" w:name="security-and-compliance-plane"/>
    <w:p>
      <w:pPr>
        <w:pStyle w:val="Heading2"/>
      </w:pPr>
      <w:r>
        <w:t xml:space="preserve">Security and Compliance Plane</w:t>
      </w:r>
    </w:p>
    <w:p>
      <w:pPr>
        <w:numPr>
          <w:ilvl w:val="0"/>
          <w:numId w:val="1005"/>
        </w:numPr>
      </w:pPr>
      <w:r>
        <w:t xml:space="preserve">TIC 3.0 Cloud + Branch</w:t>
      </w:r>
    </w:p>
    <w:p>
      <w:pPr>
        <w:numPr>
          <w:ilvl w:val="0"/>
          <w:numId w:val="1005"/>
        </w:numPr>
      </w:pPr>
      <w:r>
        <w:t xml:space="preserve">Zero Trust</w:t>
      </w:r>
    </w:p>
    <w:p>
      <w:pPr>
        <w:numPr>
          <w:ilvl w:val="0"/>
          <w:numId w:val="1005"/>
        </w:numPr>
      </w:pPr>
      <w:r>
        <w:t xml:space="preserve">FedRAMP alignment</w:t>
      </w:r>
    </w:p>
    <w:p>
      <w:pPr>
        <w:numPr>
          <w:ilvl w:val="0"/>
          <w:numId w:val="1005"/>
        </w:numPr>
      </w:pPr>
      <w:r>
        <w:t xml:space="preserve">NIST 800-63</w:t>
      </w:r>
    </w:p>
    <w:p>
      <w:pPr>
        <w:numPr>
          <w:ilvl w:val="0"/>
          <w:numId w:val="1005"/>
        </w:numPr>
      </w:pPr>
      <w:r>
        <w:t xml:space="preserve">ICAM governance</w:t>
      </w:r>
    </w:p>
    <w:p>
      <w:r>
        <w:pict>
          <v:rect style="width:0;height:1.5pt" o:hralign="center" o:hrstd="t" o:hr="t"/>
        </w:pict>
      </w:r>
    </w:p>
    <w:bookmarkEnd w:id="24"/>
    <w:bookmarkStart w:id="32" w:name="seven-core-concepts"/>
    <w:p>
      <w:pPr>
        <w:pStyle w:val="Heading2"/>
      </w:pPr>
      <w:r>
        <w:t xml:space="preserve">Seven Core Concepts</w:t>
      </w:r>
    </w:p>
    <w:bookmarkStart w:id="25" w:name="conversation-as-atomic-unit"/>
    <w:p>
      <w:pPr>
        <w:pStyle w:val="Heading3"/>
      </w:pPr>
      <w:r>
        <w:t xml:space="preserve">1. Conversation as atomic unit</w:t>
      </w:r>
    </w:p>
    <w:p>
      <w:pPr>
        <w:pStyle w:val="FirstParagraph"/>
      </w:pPr>
      <w:r>
        <w:t xml:space="preserve">Every interaction is a conversation with identity, certificates, addressing, path, QoS, and telemetry bound together</w:t>
      </w:r>
    </w:p>
    <w:bookmarkEnd w:id="25"/>
    <w:bookmarkStart w:id="26" w:name="identity-as-root-namespace"/>
    <w:p>
      <w:pPr>
        <w:pStyle w:val="Heading3"/>
      </w:pPr>
      <w:r>
        <w:t xml:space="preserve">2. Identity as root namespace</w:t>
      </w:r>
    </w:p>
    <w:p>
      <w:pPr>
        <w:pStyle w:val="FirstParagraph"/>
      </w:pPr>
      <w:r>
        <w:t xml:space="preserve">Every IP, certificate, subnet, policy, and telemetry event is derived from or bound to identity</w:t>
      </w:r>
    </w:p>
    <w:bookmarkEnd w:id="26"/>
    <w:bookmarkStart w:id="27" w:name="deterministic-addressing"/>
    <w:p>
      <w:pPr>
        <w:pStyle w:val="Heading3"/>
      </w:pPr>
      <w:r>
        <w:t xml:space="preserve">3. Deterministic addressing</w:t>
      </w:r>
    </w:p>
    <w:p>
      <w:pPr>
        <w:pStyle w:val="FirstParagraph"/>
      </w:pPr>
      <w:r>
        <w:t xml:space="preserve">Addressing is derived from identity attributes and policy, not ad-hoc assignment</w:t>
      </w:r>
    </w:p>
    <w:bookmarkEnd w:id="27"/>
    <w:bookmarkStart w:id="28" w:name="certificate-anchored-overlay"/>
    <w:p>
      <w:pPr>
        <w:pStyle w:val="Heading3"/>
      </w:pPr>
      <w:r>
        <w:t xml:space="preserve">4. Certificate-anchored overlay</w:t>
      </w:r>
    </w:p>
    <w:p>
      <w:pPr>
        <w:pStyle w:val="FirstParagraph"/>
      </w:pPr>
      <w:r>
        <w:t xml:space="preserve">Certificates and mutual TLS anchor tunnel and service authentication</w:t>
      </w:r>
    </w:p>
    <w:bookmarkEnd w:id="28"/>
    <w:bookmarkStart w:id="29" w:name="telemetry-as-control"/>
    <w:p>
      <w:pPr>
        <w:pStyle w:val="Heading3"/>
      </w:pPr>
      <w:r>
        <w:t xml:space="preserve">5. Telemetry as control</w:t>
      </w:r>
    </w:p>
    <w:p>
      <w:pPr>
        <w:pStyle w:val="FirstParagraph"/>
      </w:pPr>
      <w:r>
        <w:t xml:space="preserve">Telemetry is a control plane input to automated decisions, not passive reporting</w:t>
      </w:r>
    </w:p>
    <w:bookmarkEnd w:id="29"/>
    <w:bookmarkStart w:id="30" w:name="embedded-governance-and-automation"/>
    <w:p>
      <w:pPr>
        <w:pStyle w:val="Heading3"/>
      </w:pPr>
      <w:r>
        <w:t xml:space="preserve">6. Embedded governance and automation</w:t>
      </w:r>
    </w:p>
    <w:p>
      <w:pPr>
        <w:pStyle w:val="FirstParagraph"/>
      </w:pPr>
      <w:r>
        <w:t xml:space="preserve">Governance is executed through orchestrated workflows, not manual tickets</w:t>
      </w:r>
    </w:p>
    <w:bookmarkEnd w:id="30"/>
    <w:bookmarkStart w:id="31" w:name="public-service-first"/>
    <w:p>
      <w:pPr>
        <w:pStyle w:val="Heading3"/>
      </w:pPr>
      <w:r>
        <w:t xml:space="preserve">7. Public service first</w:t>
      </w:r>
    </w:p>
    <w:p>
      <w:pPr>
        <w:pStyle w:val="FirstParagraph"/>
      </w:pPr>
      <w:r>
        <w:t xml:space="preserve">Citizen experience, accessibility, and privacy are top-level design constraints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3" w:name="architectural-principles"/>
    <w:p>
      <w:pPr>
        <w:pStyle w:val="Heading2"/>
      </w:pPr>
      <w:r>
        <w:t xml:space="preserve">Architectural Principles</w:t>
      </w:r>
    </w:p>
    <w:p>
      <w:pPr>
        <w:numPr>
          <w:ilvl w:val="0"/>
          <w:numId w:val="1006"/>
        </w:numPr>
      </w:pPr>
      <w:r>
        <w:t xml:space="preserve">Zero Trust by default</w:t>
      </w:r>
    </w:p>
    <w:p>
      <w:pPr>
        <w:numPr>
          <w:ilvl w:val="0"/>
          <w:numId w:val="1006"/>
        </w:numPr>
      </w:pPr>
      <w:r>
        <w:t xml:space="preserve">Identity as the new perimeter</w:t>
      </w:r>
    </w:p>
    <w:p>
      <w:pPr>
        <w:numPr>
          <w:ilvl w:val="0"/>
          <w:numId w:val="1006"/>
        </w:numPr>
      </w:pPr>
      <w:r>
        <w:t xml:space="preserve">Telemetry as the truth source</w:t>
      </w:r>
    </w:p>
    <w:p>
      <w:pPr>
        <w:numPr>
          <w:ilvl w:val="0"/>
          <w:numId w:val="1006"/>
        </w:numPr>
      </w:pPr>
      <w:r>
        <w:t xml:space="preserve">Cloud-first routing</w:t>
      </w:r>
    </w:p>
    <w:p>
      <w:pPr>
        <w:numPr>
          <w:ilvl w:val="0"/>
          <w:numId w:val="1006"/>
        </w:numPr>
      </w:pPr>
      <w:r>
        <w:t xml:space="preserve">Incremental modernization (no big-bang)</w:t>
      </w:r>
    </w:p>
    <w:p>
      <w:pPr>
        <w:numPr>
          <w:ilvl w:val="0"/>
          <w:numId w:val="1006"/>
        </w:numPr>
      </w:pPr>
      <w:r>
        <w:t xml:space="preserve">FedRAMP-aligned controls</w:t>
      </w:r>
    </w:p>
    <w:p>
      <w:pPr>
        <w:numPr>
          <w:ilvl w:val="0"/>
          <w:numId w:val="1006"/>
        </w:numPr>
      </w:pPr>
      <w:r>
        <w:t xml:space="preserve">Modular, extensible architecture</w:t>
      </w:r>
    </w:p>
    <w:p>
      <w:r>
        <w:pict>
          <v:rect style="width:0;height:1.5pt" o:hralign="center" o:hrstd="t" o:hr="t"/>
        </w:pict>
      </w:r>
    </w:p>
    <w:bookmarkEnd w:id="33"/>
    <w:bookmarkStart w:id="34" w:name="frozen-state-analysis"/>
    <w:p>
      <w:pPr>
        <w:pStyle w:val="Heading2"/>
      </w:pPr>
      <w:r>
        <w:t xml:space="preserve">Frozen State Analysis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Domain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 State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Gap</w:t>
            </w:r>
          </w:p>
        </w:tc>
      </w:tr>
    </w:tbl>
    <w:p>
      <w:pPr>
        <w:pStyle w:val="BodyText"/>
      </w:pPr>
      <w:r>
        <w:t xml:space="preserve">identity | On-prem Active Directory, siloed per division | No unified identity graph |</w:t>
      </w:r>
    </w:p>
    <w:p>
      <w:pPr>
        <w:pStyle w:val="BodyText"/>
      </w:pPr>
      <w:r>
        <w:t xml:space="preserve">addressing | Static IP managed in spreadsheets | No identity-to-address binding |</w:t>
      </w:r>
    </w:p>
    <w:p>
      <w:pPr>
        <w:pStyle w:val="BodyText"/>
      </w:pPr>
      <w:r>
        <w:t xml:space="preserve">network-security | Perimeter firewalls (L3/L4) | No identity-aware segmentation |</w:t>
      </w:r>
    </w:p>
    <w:p>
      <w:pPr>
        <w:pStyle w:val="BodyText"/>
      </w:pPr>
      <w:r>
        <w:t xml:space="preserve">endpoint | Mixed tooling | No unified posture signal |</w:t>
      </w:r>
    </w:p>
    <w:p>
      <w:pPr>
        <w:pStyle w:val="BodyText"/>
      </w:pPr>
      <w:r>
        <w:t xml:space="preserve">app-delivery | Monolithic apps, local auth per app | No workload identity |</w:t>
      </w:r>
    </w:p>
    <w:p>
      <w:pPr>
        <w:pStyle w:val="BodyText"/>
      </w:pPr>
      <w:r>
        <w:t xml:space="preserve">telemetry | SIEM collects logs but no correlation | No conversation-level correlation |</w:t>
      </w:r>
    </w:p>
    <w:p>
      <w:pPr>
        <w:pStyle w:val="BodyText"/>
      </w:pPr>
      <w:r>
        <w:t xml:space="preserve">governance | Change management by email and tickets | No automated policy enforcement |</w:t>
      </w:r>
    </w:p>
    <w:p>
      <w:pPr>
        <w:pStyle w:val="BodyText"/>
      </w:pPr>
      <w:r>
        <w:t xml:space="preserve">data-protection | Manual classification, noisy DLP | No data-aware routing |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Generated from UIAO data layer - March 2026</w:t>
      </w:r>
    </w:p>
    <w:bookmarkEnd w:id="34"/>
    <w:bookmarkEnd w:id="3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2026-03-20T16:31:34Z</dcterms:created>
  <dcterms:modified xsi:type="dcterms:W3CDTF">2026-03-20T16:31:34Z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