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409c3dbc94111beb5946c2b06cb879900d8764a"/>
    <w:p>
      <w:pPr>
        <w:pStyle w:val="Heading1"/>
      </w:pPr>
      <w:r>
        <w:t xml:space="preserve">Pitch Deck &amp; Executive Summary - Unified Identity-Addressing-Overlay Architecture</w:t>
      </w:r>
    </w:p>
    <w:p>
      <w:pPr>
        <w:pStyle w:val="SourceCode"/>
      </w:pPr>
      <w:r>
        <w:rPr>
          <w:rStyle w:val="VerbatimChar"/>
        </w:rPr>
        <w:t xml:space="preserve">Format: Markdown slide deck</w:t>
      </w:r>
      <w:r>
        <w:br/>
      </w:r>
      <w:r>
        <w:rPr>
          <w:rStyle w:val="VerbatimChar"/>
        </w:rPr>
        <w:t xml:space="preserve">Audience: CIO, CISO, CTO, PMO, Network/Identity Leadership</w:t>
      </w:r>
      <w:r>
        <w:br/>
      </w:r>
      <w:r>
        <w:rPr>
          <w:rStyle w:val="VerbatimChar"/>
        </w:rPr>
        <w:t xml:space="preserve">Version: 1.0 (March 2026)</w:t>
      </w:r>
      <w:r>
        <w:br/>
      </w:r>
      <w:r>
        <w:rPr>
          <w:rStyle w:val="VerbatimChar"/>
        </w:rPr>
        <w:t xml:space="preserve">Classification: CUI/FOUO or as appropriate</w:t>
      </w:r>
    </w:p>
    <w:p>
      <w:r>
        <w:pict>
          <v:rect style="width:0;height:1.5pt" o:hralign="center" o:hrstd="t" o:hr="t"/>
        </w:pict>
      </w:r>
    </w:p>
    <w:bookmarkEnd w:id="20"/>
    <w:bookmarkStart w:id="23" w:name="slide-1---title"/>
    <w:p>
      <w:pPr>
        <w:pStyle w:val="Heading1"/>
      </w:pPr>
      <w:r>
        <w:t xml:space="preserve">Slide 1 - Title</w:t>
      </w:r>
    </w:p>
    <w:bookmarkStart w:id="22" w:name="X89d27089b9e35464a3fe4ccca1d49cbbcbaeb69"/>
    <w:p>
      <w:pPr>
        <w:pStyle w:val="Heading2"/>
      </w:pPr>
      <w:r>
        <w:t xml:space="preserve">Unified Identity-Addressing-Overlay Architecture (UIAO)</w:t>
      </w:r>
    </w:p>
    <w:bookmarkStart w:id="21" w:name="X5700cb41cedac8c2bea40a5359d72610e42f5b5"/>
    <w:p>
      <w:pPr>
        <w:pStyle w:val="Heading3"/>
      </w:pPr>
      <w:r>
        <w:t xml:space="preserve">Modernization Atlas - Pitch Deck &amp; Executive Summary</w:t>
      </w:r>
    </w:p>
    <w:p>
      <w:pPr>
        <w:pStyle w:val="FirstParagraph"/>
      </w:pPr>
      <w:r>
        <w:t xml:space="preserve">Transform the agency into a cloud-optimized, identity-driven, telemetry-informed, Zero Trust-aligned, TIC 3.0-compliant federal enterprise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6" w:name="slide-2---the-problem"/>
    <w:p>
      <w:pPr>
        <w:pStyle w:val="Heading1"/>
      </w:pPr>
      <w:r>
        <w:t xml:space="preserve">Slide 2 - The Problem</w:t>
      </w:r>
    </w:p>
    <w:bookmarkStart w:id="24" w:name="current-state-challenges"/>
    <w:p>
      <w:pPr>
        <w:pStyle w:val="Heading2"/>
      </w:pPr>
      <w:r>
        <w:t xml:space="preserve">Current State Challenges</w:t>
      </w:r>
    </w:p>
    <w:p>
      <w:pPr>
        <w:numPr>
          <w:ilvl w:val="0"/>
          <w:numId w:val="1001"/>
        </w:numPr>
      </w:pPr>
      <w:r>
        <w:t xml:space="preserve">TIC 2.0 hairpin bottlenecks</w:t>
      </w:r>
    </w:p>
    <w:p>
      <w:pPr>
        <w:numPr>
          <w:ilvl w:val="0"/>
          <w:numId w:val="1001"/>
        </w:numPr>
      </w:pPr>
      <w:r>
        <w:t xml:space="preserve">AD-centric identity with limited governance</w:t>
      </w:r>
    </w:p>
    <w:p>
      <w:pPr>
        <w:numPr>
          <w:ilvl w:val="0"/>
          <w:numId w:val="1001"/>
        </w:numPr>
      </w:pPr>
      <w:r>
        <w:t xml:space="preserve">Fragmented IPAM across cloud and on-prem</w:t>
      </w:r>
    </w:p>
    <w:p>
      <w:pPr>
        <w:numPr>
          <w:ilvl w:val="0"/>
          <w:numId w:val="1001"/>
        </w:numPr>
      </w:pPr>
      <w:r>
        <w:t xml:space="preserve">Limited telemetry visibility</w:t>
      </w:r>
    </w:p>
    <w:p>
      <w:pPr>
        <w:numPr>
          <w:ilvl w:val="0"/>
          <w:numId w:val="1001"/>
        </w:numPr>
      </w:pPr>
      <w:r>
        <w:t xml:space="preserve">No INR or E911 readiness</w:t>
      </w:r>
    </w:p>
    <w:p>
      <w:pPr>
        <w:numPr>
          <w:ilvl w:val="0"/>
          <w:numId w:val="1001"/>
        </w:numPr>
      </w:pPr>
      <w:r>
        <w:t xml:space="preserve">Inconsistent Zero Trust enforcement</w:t>
      </w:r>
    </w:p>
    <w:bookmarkEnd w:id="24"/>
    <w:bookmarkStart w:id="25" w:name="compliance-gaps"/>
    <w:p>
      <w:pPr>
        <w:pStyle w:val="Heading2"/>
      </w:pPr>
      <w:r>
        <w:t xml:space="preserve">Compliance Gaps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slide-3---the-vision"/>
    <w:p>
      <w:pPr>
        <w:pStyle w:val="Heading1"/>
      </w:pPr>
      <w:r>
        <w:t xml:space="preserve">Slide 3 - The Vision</w:t>
      </w:r>
    </w:p>
    <w:bookmarkStart w:id="28" w:name="uiao-unified-architecture"/>
    <w:p>
      <w:pPr>
        <w:pStyle w:val="Heading2"/>
      </w:pPr>
      <w:r>
        <w:t xml:space="preserve">UIAO Unified Architecture</w:t>
      </w:r>
    </w:p>
    <w:bookmarkStart w:id="27" w:name="core-pillars"/>
    <w:p>
      <w:pPr>
        <w:pStyle w:val="Heading3"/>
      </w:pPr>
      <w:r>
        <w:t xml:space="preserve">Core Pillars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1" w:name="slide-4---architecture-overview"/>
    <w:p>
      <w:pPr>
        <w:pStyle w:val="Heading1"/>
      </w:pPr>
      <w:r>
        <w:t xml:space="preserve">Slide 4 - Architecture Overview</w:t>
      </w:r>
    </w:p>
    <w:bookmarkStart w:id="30" w:name="five-control-planes"/>
    <w:p>
      <w:pPr>
        <w:pStyle w:val="Heading2"/>
      </w:pPr>
      <w:r>
        <w:t xml:space="preserve">Five Control Planes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slide-5---identity-plane-deep-dive"/>
    <w:p>
      <w:pPr>
        <w:pStyle w:val="Heading1"/>
      </w:pPr>
      <w:r>
        <w:t xml:space="preserve">Slide 5 - Identity Plane Deep Dive</w:t>
      </w:r>
    </w:p>
    <w:bookmarkStart w:id="32" w:name="identity-as-the-perimeter"/>
    <w:p>
      <w:pPr>
        <w:pStyle w:val="Heading2"/>
      </w:pPr>
      <w:r>
        <w:t xml:space="preserve">Identity as the Perimeter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slide-6---telemetry-plane-deep-dive"/>
    <w:p>
      <w:pPr>
        <w:pStyle w:val="Heading1"/>
      </w:pPr>
      <w:r>
        <w:t xml:space="preserve">Slide 6 - Telemetry Plane Deep Dive</w:t>
      </w:r>
    </w:p>
    <w:bookmarkStart w:id="34" w:name="observability-as-truth-source"/>
    <w:p>
      <w:pPr>
        <w:pStyle w:val="Heading2"/>
      </w:pPr>
      <w:r>
        <w:t xml:space="preserve">Observability as Truth Source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slide-7---zero-trust-alignment"/>
    <w:p>
      <w:pPr>
        <w:pStyle w:val="Heading1"/>
      </w:pPr>
      <w:r>
        <w:t xml:space="preserve">Slide 7 - Zero Trust Alignment</w:t>
      </w:r>
    </w:p>
    <w:bookmarkStart w:id="36" w:name="nist-800-207-compliance"/>
    <w:p>
      <w:pPr>
        <w:pStyle w:val="Heading2"/>
      </w:pPr>
      <w:r>
        <w:t xml:space="preserve">NIST 800-207 Compliance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slide-8---compliance-crosswalk"/>
    <w:p>
      <w:pPr>
        <w:pStyle w:val="Heading1"/>
      </w:pPr>
      <w:r>
        <w:t xml:space="preserve">Slide 8 - Compliance Crosswalk</w:t>
      </w:r>
    </w:p>
    <w:bookmarkStart w:id="38" w:name="framework-alignment"/>
    <w:p>
      <w:pPr>
        <w:pStyle w:val="Heading2"/>
      </w:pPr>
      <w:r>
        <w:t xml:space="preserve">Framework Alignment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1" w:name="slide-9---modernization-timeline"/>
    <w:p>
      <w:pPr>
        <w:pStyle w:val="Heading1"/>
      </w:pPr>
      <w:r>
        <w:t xml:space="preserve">Slide 9 - Modernization Timeline</w:t>
      </w:r>
    </w:p>
    <w:bookmarkStart w:id="40" w:name="phased-approach"/>
    <w:p>
      <w:pPr>
        <w:pStyle w:val="Heading2"/>
      </w:pPr>
      <w:r>
        <w:t xml:space="preserve">Phased Approach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slide-10---roi-business-case"/>
    <w:p>
      <w:pPr>
        <w:pStyle w:val="Heading1"/>
      </w:pPr>
      <w:r>
        <w:t xml:space="preserve">Slide 10 - ROI &amp; Business Case</w:t>
      </w:r>
    </w:p>
    <w:bookmarkStart w:id="42" w:name="expected-outcomes"/>
    <w:p>
      <w:pPr>
        <w:pStyle w:val="Heading2"/>
      </w:pPr>
      <w:r>
        <w:t xml:space="preserve">Expected Outcomes</w:t>
      </w:r>
    </w:p>
    <w:bookmarkEnd w:id="42"/>
    <w:bookmarkStart w:id="43" w:name="risk-reduction"/>
    <w:p>
      <w:pPr>
        <w:pStyle w:val="Heading2"/>
      </w:pPr>
      <w:r>
        <w:t xml:space="preserve">Risk Reduction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slide-11---ask-next-steps"/>
    <w:p>
      <w:pPr>
        <w:pStyle w:val="Heading1"/>
      </w:pPr>
      <w:r>
        <w:t xml:space="preserve">Slide 11 - Ask &amp; Next Steps</w:t>
      </w:r>
    </w:p>
    <w:bookmarkStart w:id="45" w:name="recommended-actions"/>
    <w:p>
      <w:pPr>
        <w:pStyle w:val="Heading2"/>
      </w:pPr>
      <w:r>
        <w:t xml:space="preserve">Recommended Actions</w:t>
      </w:r>
    </w:p>
    <w:bookmarkEnd w:id="45"/>
    <w:bookmarkStart w:id="46" w:name="resources-required"/>
    <w:p>
      <w:pPr>
        <w:pStyle w:val="Heading2"/>
      </w:pPr>
      <w:r>
        <w:t xml:space="preserve">Resources Required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2026-03-21T12:19:03Z</dcterms:created>
  <dcterms:modified xsi:type="dcterms:W3CDTF">2026-03-21T12:19:03Z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