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 Programvision</w:t>
      </w:r>
    </w:p>
    <w:p>
      <w:pPr>
        <w:pStyle w:val="Author"/>
      </w:pPr>
      <w:r>
        <w:t xml:space="preserve">UIAO Modernization Program</w:t>
      </w:r>
    </w:p>
    <w:p>
      <w:pPr>
        <w:pStyle w:val="Date"/>
      </w:pPr>
      <w:r>
        <w:t xml:space="preserve">April 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89d27089b9e35464a3fe4ccca1d49cbbcbaeb69"/>
    <w:p>
      <w:pPr>
        <w:pStyle w:val="Heading1"/>
      </w:pPr>
      <w:r>
        <w:t xml:space="preserve">1. Unified Identity-Addressing-Overlay Architecture (UIAO)</w:t>
      </w:r>
    </w:p>
    <w:bookmarkStart w:id="20" w:name="program-vision"/>
    <w:p>
      <w:pPr>
        <w:pStyle w:val="Heading2"/>
      </w:pPr>
      <w:r>
        <w:t xml:space="preserve">1.1 Program 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Leadership Vision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Program Vision for the Unified Identity-Addressing-Overlay (UIAO) modernization initiative. UIAO is a drop-in overlay that restores cross-service telemetry and identity correlation in FedRAMP Moderate environments where native platforms cannot. It articulates the strategic intent, mission alignment, guiding principles, and end-state outcomes required to deliver deterministic identity correlation, provenance, drift detection, and continuous compliance – without requiring rip-and-replace of existing platforms – aligned with Zero Trust, TIC 3.0, NIST 800-63,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Strategic modernization vision</w:t>
      </w:r>
    </w:p>
    <w:p>
      <w:pPr>
        <w:pStyle w:val="Compact"/>
        <w:numPr>
          <w:ilvl w:val="0"/>
          <w:numId w:val="1001"/>
        </w:numPr>
      </w:pPr>
      <w:r>
        <w:t xml:space="preserve">Mission alignment and business drivers</w:t>
      </w:r>
    </w:p>
    <w:p>
      <w:pPr>
        <w:pStyle w:val="Compact"/>
        <w:numPr>
          <w:ilvl w:val="0"/>
          <w:numId w:val="1001"/>
        </w:numPr>
      </w:pPr>
      <w:r>
        <w:t xml:space="preserve">Guiding principles</w:t>
      </w:r>
    </w:p>
    <w:p>
      <w:pPr>
        <w:pStyle w:val="Compact"/>
        <w:numPr>
          <w:ilvl w:val="0"/>
          <w:numId w:val="1001"/>
        </w:numPr>
      </w:pPr>
      <w:r>
        <w:t xml:space="preserve">End-state architectural outcomes</w:t>
      </w:r>
    </w:p>
    <w:p>
      <w:pPr>
        <w:pStyle w:val="Compact"/>
        <w:numPr>
          <w:ilvl w:val="0"/>
          <w:numId w:val="1001"/>
        </w:numPr>
      </w:pPr>
      <w:r>
        <w:t xml:space="preserve">Technology pillars supporting the program</w:t>
      </w:r>
    </w:p>
    <w:bookmarkEnd w:id="22"/>
    <w:bookmarkStart w:id="23" w:name="excluded"/>
    <w:p>
      <w:pPr>
        <w:pStyle w:val="Heading3"/>
      </w:pPr>
      <w:r>
        <w:t xml:space="preserve">1.3.2 Excluded</w:t>
      </w:r>
    </w:p>
    <w:p>
      <w:pPr>
        <w:pStyle w:val="Compact"/>
        <w:numPr>
          <w:ilvl w:val="0"/>
          <w:numId w:val="1002"/>
        </w:numPr>
      </w:pPr>
      <w:r>
        <w:t xml:space="preserve">Detailed architecture (see foundational documents)</w:t>
      </w:r>
    </w:p>
    <w:p>
      <w:pPr>
        <w:pStyle w:val="Compact"/>
        <w:numPr>
          <w:ilvl w:val="0"/>
          <w:numId w:val="1002"/>
        </w:numPr>
      </w:pPr>
      <w:r>
        <w:t xml:space="preserve">Compliance mappings (see FedRAMP crosswalk)</w:t>
      </w:r>
    </w:p>
    <w:p>
      <w:pPr>
        <w:pStyle w:val="Compact"/>
        <w:numPr>
          <w:ilvl w:val="0"/>
          <w:numId w:val="1002"/>
        </w:numPr>
      </w:pPr>
      <w:r>
        <w:t xml:space="preserve">Project sequencing (see modernization timeline)</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Program Vision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Foundation of Zero Trust and access governance</w:t>
            </w:r>
          </w:p>
        </w:tc>
      </w:tr>
      <w:tr>
        <w:tc>
          <w:tcPr/>
          <w:p>
            <w:pPr>
              <w:pStyle w:val="Compact"/>
            </w:pPr>
            <w:r>
              <w:t xml:space="preserve">Network</w:t>
            </w:r>
          </w:p>
        </w:tc>
        <w:tc>
          <w:tcPr/>
          <w:p>
            <w:pPr>
              <w:pStyle w:val="Compact"/>
            </w:pPr>
            <w:r>
              <w:t xml:space="preserve">Cloud-first routing and segmentation</w:t>
            </w:r>
          </w:p>
        </w:tc>
      </w:tr>
      <w:tr>
        <w:tc>
          <w:tcPr/>
          <w:p>
            <w:pPr>
              <w:pStyle w:val="Compact"/>
            </w:pPr>
            <w:r>
              <w:t xml:space="preserve">Addressing</w:t>
            </w:r>
          </w:p>
        </w:tc>
        <w:tc>
          <w:tcPr/>
          <w:p>
            <w:pPr>
              <w:pStyle w:val="Compact"/>
            </w:pPr>
            <w:r>
              <w:t xml:space="preserve">Deterministic IPAM and location intelligence</w:t>
            </w:r>
          </w:p>
        </w:tc>
      </w:tr>
      <w:tr>
        <w:tc>
          <w:tcPr/>
          <w:p>
            <w:pPr>
              <w:pStyle w:val="Compact"/>
            </w:pPr>
            <w:r>
              <w:t xml:space="preserve">Telemetry &amp; Location</w:t>
            </w:r>
          </w:p>
        </w:tc>
        <w:tc>
          <w:tcPr/>
          <w:p>
            <w:pPr>
              <w:pStyle w:val="Compact"/>
            </w:pPr>
            <w:r>
              <w:t xml:space="preserve">Real-time truth source for decisions</w:t>
            </w:r>
          </w:p>
        </w:tc>
      </w:tr>
      <w:tr>
        <w:tc>
          <w:tcPr/>
          <w:p>
            <w:pPr>
              <w:pStyle w:val="Compact"/>
            </w:pPr>
            <w:r>
              <w:t xml:space="preserve">Security &amp; Compliance</w:t>
            </w:r>
          </w:p>
        </w:tc>
        <w:tc>
          <w:tcPr/>
          <w:p>
            <w:pPr>
              <w:pStyle w:val="Compact"/>
            </w:pPr>
            <w:r>
              <w:t xml:space="preserve">Alignment with TIC 3.0, FedRAMP 20x, NIST 800-63</w:t>
            </w:r>
          </w:p>
        </w:tc>
      </w:tr>
      <w:tr>
        <w:tc>
          <w:tcPr/>
          <w:p>
            <w:pPr>
              <w:pStyle w:val="Compact"/>
            </w:pPr>
            <w:r>
              <w:t xml:space="preserve">Management</w:t>
            </w:r>
          </w:p>
        </w:tc>
        <w:tc>
          <w:tcPr/>
          <w:p>
            <w:pPr>
              <w:pStyle w:val="Compact"/>
            </w:pPr>
            <w:r>
              <w:t xml:space="preserve">Governance, drift detection, and continuous authorization</w:t>
            </w:r>
          </w:p>
        </w:tc>
      </w:tr>
    </w:tbl>
    <w:p>
      <w:pPr>
        <w:pStyle w:val="BodyText"/>
      </w:pPr>
      <w:r>
        <w:t xml:space="preserve">The vision describes how these planes unify into a single modernization program.</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Program Vision is anchored in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modernization philosophy and guide all program decisions.</w:t>
      </w:r>
    </w:p>
    <w:p>
      <w:r>
        <w:pict>
          <v:rect style="width:0;height:1.5pt" o:hralign="center" o:hrstd="t" o:hr="t"/>
        </w:pict>
      </w:r>
    </w:p>
    <w:bookmarkEnd w:id="26"/>
    <w:bookmarkStart w:id="31" w:name="architecture-model"/>
    <w:p>
      <w:pPr>
        <w:pStyle w:val="Heading2"/>
      </w:pPr>
      <w:r>
        <w:t xml:space="preserve">1.6 6. Architecture Model</w:t>
      </w:r>
    </w:p>
    <w:bookmarkStart w:id="27" w:name="purpose-of-the-modernization-program"/>
    <w:p>
      <w:pPr>
        <w:pStyle w:val="Heading3"/>
      </w:pPr>
      <w:r>
        <w:t xml:space="preserve">1.6.1 6.1 Purpose of the Modernization Program</w:t>
      </w:r>
    </w:p>
    <w:p>
      <w:pPr>
        <w:pStyle w:val="FirstParagraph"/>
      </w:pPr>
      <w:r>
        <w:t xml:space="preserve">The agency must modernize to:</w:t>
      </w:r>
    </w:p>
    <w:p>
      <w:pPr>
        <w:pStyle w:val="Compact"/>
        <w:numPr>
          <w:ilvl w:val="0"/>
          <w:numId w:val="1004"/>
        </w:numPr>
      </w:pPr>
      <w:r>
        <w:t xml:space="preserve">Improve mission readiness</w:t>
      </w:r>
    </w:p>
    <w:p>
      <w:pPr>
        <w:pStyle w:val="Compact"/>
        <w:numPr>
          <w:ilvl w:val="0"/>
          <w:numId w:val="1004"/>
        </w:numPr>
      </w:pPr>
      <w:r>
        <w:t xml:space="preserve">Reduce cyber risk</w:t>
      </w:r>
    </w:p>
    <w:p>
      <w:pPr>
        <w:pStyle w:val="Compact"/>
        <w:numPr>
          <w:ilvl w:val="0"/>
          <w:numId w:val="1004"/>
        </w:numPr>
      </w:pPr>
      <w:r>
        <w:t xml:space="preserve">Meet federal mandates</w:t>
      </w:r>
    </w:p>
    <w:p>
      <w:pPr>
        <w:pStyle w:val="Compact"/>
        <w:numPr>
          <w:ilvl w:val="0"/>
          <w:numId w:val="1004"/>
        </w:numPr>
      </w:pPr>
      <w:r>
        <w:t xml:space="preserve">Improve citizen-facing services</w:t>
      </w:r>
    </w:p>
    <w:p>
      <w:pPr>
        <w:pStyle w:val="Compact"/>
        <w:numPr>
          <w:ilvl w:val="0"/>
          <w:numId w:val="1004"/>
        </w:numPr>
      </w:pPr>
      <w:r>
        <w:t xml:space="preserve">Replace legacy perimeter architectures</w:t>
      </w:r>
    </w:p>
    <w:p>
      <w:pPr>
        <w:pStyle w:val="Compact"/>
        <w:numPr>
          <w:ilvl w:val="0"/>
          <w:numId w:val="1004"/>
        </w:numPr>
      </w:pPr>
      <w:r>
        <w:t xml:space="preserve">Enable cloud-first operations</w:t>
      </w:r>
    </w:p>
    <w:p>
      <w:pPr>
        <w:pStyle w:val="Compact"/>
        <w:numPr>
          <w:ilvl w:val="0"/>
          <w:numId w:val="1004"/>
        </w:numPr>
      </w:pPr>
      <w:r>
        <w:t xml:space="preserve">Support real-time telemetry and location services</w:t>
      </w:r>
    </w:p>
    <w:p>
      <w:pPr>
        <w:pStyle w:val="FirstParagraph"/>
      </w:pPr>
      <w:r>
        <w:t xml:space="preserve">UIAO provides a drop-in overlay that restores the cross-service telemetry and identity correlation required for this transformation.</w:t>
      </w:r>
    </w:p>
    <w:bookmarkEnd w:id="27"/>
    <w:bookmarkStart w:id="28" w:name="technology-pillars"/>
    <w:p>
      <w:pPr>
        <w:pStyle w:val="Heading3"/>
      </w:pPr>
      <w:r>
        <w:t xml:space="preserve">1.6.2 6.2 Technology Pillars</w:t>
      </w:r>
    </w:p>
    <w:p>
      <w:pPr>
        <w:pStyle w:val="FirstParagraph"/>
      </w:pPr>
      <w:r>
        <w:t xml:space="preserve">The modernization program is built on real, production-grade federal technologies:</w:t>
      </w:r>
    </w:p>
    <w:p>
      <w:pPr>
        <w:pStyle w:val="Compact"/>
        <w:numPr>
          <w:ilvl w:val="0"/>
          <w:numId w:val="1005"/>
        </w:numPr>
      </w:pPr>
      <w:r>
        <w:rPr>
          <w:b/>
          <w:bCs/>
        </w:rPr>
        <w:t xml:space="preserve">Microsoft Entra ID</w:t>
      </w:r>
      <w:r>
        <w:t xml:space="preserve"> </w:t>
      </w:r>
      <w:r>
        <w:t xml:space="preserve">— Identity Control Plane</w:t>
      </w:r>
    </w:p>
    <w:p>
      <w:pPr>
        <w:pStyle w:val="Compact"/>
        <w:numPr>
          <w:ilvl w:val="0"/>
          <w:numId w:val="1005"/>
        </w:numPr>
      </w:pPr>
      <w:r>
        <w:rPr>
          <w:b/>
          <w:bCs/>
        </w:rPr>
        <w:t xml:space="preserve">ICAM (NIST 800-63, OMB M-19-17)</w:t>
      </w:r>
      <w:r>
        <w:t xml:space="preserve"> </w:t>
      </w:r>
      <w:r>
        <w:t xml:space="preserve">— Governance backbone</w:t>
      </w:r>
    </w:p>
    <w:p>
      <w:pPr>
        <w:pStyle w:val="Compact"/>
        <w:numPr>
          <w:ilvl w:val="0"/>
          <w:numId w:val="1005"/>
        </w:numPr>
      </w:pPr>
      <w:r>
        <w:rPr>
          <w:b/>
          <w:bCs/>
        </w:rPr>
        <w:t xml:space="preserve">InfoBlox IPAM</w:t>
      </w:r>
      <w:r>
        <w:t xml:space="preserve"> </w:t>
      </w:r>
      <w:r>
        <w:t xml:space="preserve">— Authoritative Addressing Control Plane</w:t>
      </w:r>
    </w:p>
    <w:p>
      <w:pPr>
        <w:pStyle w:val="Compact"/>
        <w:numPr>
          <w:ilvl w:val="0"/>
          <w:numId w:val="1005"/>
        </w:numPr>
      </w:pPr>
      <w:r>
        <w:rPr>
          <w:b/>
          <w:bCs/>
        </w:rPr>
        <w:t xml:space="preserve">Cisco Catalyst SD-WAN</w:t>
      </w:r>
      <w:r>
        <w:t xml:space="preserve"> </w:t>
      </w:r>
      <w:r>
        <w:t xml:space="preserve">— Network Control Plane</w:t>
      </w:r>
    </w:p>
    <w:p>
      <w:pPr>
        <w:pStyle w:val="Compact"/>
        <w:numPr>
          <w:ilvl w:val="0"/>
          <w:numId w:val="1005"/>
        </w:numPr>
      </w:pPr>
      <w:r>
        <w:rPr>
          <w:b/>
          <w:bCs/>
        </w:rPr>
        <w:t xml:space="preserve">Cloud Telemetry + Location Services</w:t>
      </w:r>
      <w:r>
        <w:t xml:space="preserve"> </w:t>
      </w:r>
      <w:r>
        <w:t xml:space="preserve">— Telemetry Control Plane</w:t>
      </w:r>
    </w:p>
    <w:p>
      <w:pPr>
        <w:pStyle w:val="Compact"/>
        <w:numPr>
          <w:ilvl w:val="0"/>
          <w:numId w:val="1005"/>
        </w:numPr>
      </w:pPr>
      <w:r>
        <w:rPr>
          <w:b/>
          <w:bCs/>
        </w:rPr>
        <w:t xml:space="preserve">TIC 3.0 Cloud + Branch</w:t>
      </w:r>
      <w:r>
        <w:t xml:space="preserve"> </w:t>
      </w:r>
      <w:r>
        <w:t xml:space="preserve">— Security &amp; Compliance Plane</w:t>
      </w:r>
    </w:p>
    <w:p>
      <w:pPr>
        <w:pStyle w:val="FirstParagraph"/>
      </w:pPr>
      <w:r>
        <w:t xml:space="preserve">These pillars form the operational substrate of UIAO.</w:t>
      </w:r>
    </w:p>
    <w:bookmarkEnd w:id="28"/>
    <w:bookmarkStart w:id="29" w:name="guiding-principles"/>
    <w:p>
      <w:pPr>
        <w:pStyle w:val="Heading3"/>
      </w:pPr>
      <w:r>
        <w:t xml:space="preserve">1.6.3 6.3 Guiding Principles</w:t>
      </w:r>
    </w:p>
    <w:p>
      <w:pPr>
        <w:pStyle w:val="FirstParagraph"/>
      </w:pPr>
      <w:r>
        <w:t xml:space="preserve">The modernization program is governed by the following principles:</w:t>
      </w:r>
    </w:p>
    <w:p>
      <w:pPr>
        <w:pStyle w:val="Compact"/>
        <w:numPr>
          <w:ilvl w:val="0"/>
          <w:numId w:val="1006"/>
        </w:numPr>
      </w:pPr>
      <w:r>
        <w:t xml:space="preserve">Zero Trust by default</w:t>
      </w:r>
    </w:p>
    <w:p>
      <w:pPr>
        <w:pStyle w:val="Compact"/>
        <w:numPr>
          <w:ilvl w:val="0"/>
          <w:numId w:val="1006"/>
        </w:numPr>
      </w:pPr>
      <w:r>
        <w:t xml:space="preserve">Identity as the new perimeter</w:t>
      </w:r>
    </w:p>
    <w:p>
      <w:pPr>
        <w:pStyle w:val="Compact"/>
        <w:numPr>
          <w:ilvl w:val="0"/>
          <w:numId w:val="1006"/>
        </w:numPr>
      </w:pPr>
      <w:r>
        <w:t xml:space="preserve">Telemetry as the truth source</w:t>
      </w:r>
    </w:p>
    <w:p>
      <w:pPr>
        <w:pStyle w:val="Compact"/>
        <w:numPr>
          <w:ilvl w:val="0"/>
          <w:numId w:val="1006"/>
        </w:numPr>
      </w:pPr>
      <w:r>
        <w:t xml:space="preserve">Cloud-first routing</w:t>
      </w:r>
    </w:p>
    <w:p>
      <w:pPr>
        <w:pStyle w:val="Compact"/>
        <w:numPr>
          <w:ilvl w:val="0"/>
          <w:numId w:val="1006"/>
        </w:numPr>
      </w:pPr>
      <w:r>
        <w:t xml:space="preserve">Incremental modernization (no big-bang)</w:t>
      </w:r>
    </w:p>
    <w:p>
      <w:pPr>
        <w:pStyle w:val="Compact"/>
        <w:numPr>
          <w:ilvl w:val="0"/>
          <w:numId w:val="1006"/>
        </w:numPr>
      </w:pPr>
      <w:r>
        <w:t xml:space="preserve">FedRAMP-aligned controls</w:t>
      </w:r>
    </w:p>
    <w:p>
      <w:pPr>
        <w:pStyle w:val="Compact"/>
        <w:numPr>
          <w:ilvl w:val="0"/>
          <w:numId w:val="1006"/>
        </w:numPr>
      </w:pPr>
      <w:r>
        <w:t xml:space="preserve">Modular, extensible architecture</w:t>
      </w:r>
    </w:p>
    <w:p>
      <w:pPr>
        <w:pStyle w:val="FirstParagraph"/>
      </w:pPr>
      <w:r>
        <w:t xml:space="preserve">These principles ensure modernization is sustainable, compliant, and mission-aligned.</w:t>
      </w:r>
    </w:p>
    <w:bookmarkEnd w:id="29"/>
    <w:bookmarkStart w:id="30" w:name="end-state-vision"/>
    <w:p>
      <w:pPr>
        <w:pStyle w:val="Heading3"/>
      </w:pPr>
      <w:r>
        <w:t xml:space="preserve">1.6.4 6.4 End-State Vision</w:t>
      </w:r>
    </w:p>
    <w:p>
      <w:pPr>
        <w:pStyle w:val="FirstParagraph"/>
      </w:pPr>
      <w:r>
        <w:t xml:space="preserve">The end state is a FedRAMP Moderate environment with restored cross-service telemetry and deterministic identity correlation where:</w:t>
      </w:r>
    </w:p>
    <w:p>
      <w:pPr>
        <w:pStyle w:val="Compact"/>
        <w:numPr>
          <w:ilvl w:val="0"/>
          <w:numId w:val="1007"/>
        </w:numPr>
      </w:pPr>
      <w:r>
        <w:t xml:space="preserve">Identity governs access, addressing, certificates, and policy</w:t>
      </w:r>
    </w:p>
    <w:p>
      <w:pPr>
        <w:pStyle w:val="Compact"/>
        <w:numPr>
          <w:ilvl w:val="0"/>
          <w:numId w:val="1007"/>
        </w:numPr>
      </w:pPr>
      <w:r>
        <w:t xml:space="preserve">Routing is cloud-first and performance-optimized</w:t>
      </w:r>
    </w:p>
    <w:p>
      <w:pPr>
        <w:pStyle w:val="Compact"/>
        <w:numPr>
          <w:ilvl w:val="0"/>
          <w:numId w:val="1007"/>
        </w:numPr>
      </w:pPr>
      <w:r>
        <w:t xml:space="preserve">Addressing is deterministic and identity-derived</w:t>
      </w:r>
    </w:p>
    <w:p>
      <w:pPr>
        <w:pStyle w:val="Compact"/>
        <w:numPr>
          <w:ilvl w:val="0"/>
          <w:numId w:val="1007"/>
        </w:numPr>
      </w:pPr>
      <w:r>
        <w:t xml:space="preserve">Telemetry provides real-time assurance and location inference</w:t>
      </w:r>
    </w:p>
    <w:p>
      <w:pPr>
        <w:pStyle w:val="Compact"/>
        <w:numPr>
          <w:ilvl w:val="0"/>
          <w:numId w:val="1007"/>
        </w:numPr>
      </w:pPr>
      <w:r>
        <w:t xml:space="preserve">Governance is automated and drift-resistant</w:t>
      </w:r>
    </w:p>
    <w:p>
      <w:pPr>
        <w:pStyle w:val="Compact"/>
        <w:numPr>
          <w:ilvl w:val="0"/>
          <w:numId w:val="1007"/>
        </w:numPr>
      </w:pPr>
      <w:r>
        <w:t xml:space="preserve">Security is continuous and Zero Trust-aligned</w:t>
      </w:r>
    </w:p>
    <w:p>
      <w:pPr>
        <w:pStyle w:val="Compact"/>
        <w:numPr>
          <w:ilvl w:val="0"/>
          <w:numId w:val="1007"/>
        </w:numPr>
      </w:pPr>
      <w:r>
        <w:t xml:space="preserve">Citizen experience is prioritized in every decision</w:t>
      </w:r>
    </w:p>
    <w:p>
      <w:pPr>
        <w:pStyle w:val="FirstParagraph"/>
      </w:pPr>
      <w:r>
        <w:t xml:space="preserve">This is the target end state – a drop-in overlay delivering what native platforms cannot.</w:t>
      </w:r>
    </w:p>
    <w:p>
      <w:r>
        <w:pict>
          <v:rect style="width:0;height:1.5pt" o:hralign="center" o:hrstd="t" o:hr="t"/>
        </w:pict>
      </w:r>
    </w:p>
    <w:bookmarkEnd w:id="30"/>
    <w:bookmarkEnd w:id="31"/>
    <w:bookmarkStart w:id="35" w:name="runtime-model"/>
    <w:p>
      <w:pPr>
        <w:pStyle w:val="Heading2"/>
      </w:pPr>
      <w:r>
        <w:t xml:space="preserve">1.7 7. Runtime Model</w:t>
      </w:r>
    </w:p>
    <w:p>
      <w:pPr>
        <w:pStyle w:val="FirstParagraph"/>
      </w:pPr>
      <w:r>
        <w:t xml:space="preserve">The Program Vision adopts the UIAO runtime model:</w:t>
      </w:r>
    </w:p>
    <w:bookmarkStart w:id="32" w:name="conversation-centric-operation"/>
    <w:p>
      <w:pPr>
        <w:pStyle w:val="Heading3"/>
      </w:pPr>
      <w:r>
        <w:t xml:space="preserve">1.7.1 7.1 Conversation-Centric Operation</w:t>
      </w:r>
    </w:p>
    <w:p>
      <w:pPr>
        <w:pStyle w:val="FirstParagraph"/>
      </w:pPr>
      <w:r>
        <w:t xml:space="preserve">Every interaction is treated as a conversation with:</w:t>
      </w:r>
    </w:p>
    <w:p>
      <w:pPr>
        <w:pStyle w:val="Compact"/>
        <w:numPr>
          <w:ilvl w:val="0"/>
          <w:numId w:val="1008"/>
        </w:numPr>
      </w:pPr>
      <w:r>
        <w:t xml:space="preserve">Identity</w:t>
      </w:r>
    </w:p>
    <w:p>
      <w:pPr>
        <w:pStyle w:val="Compact"/>
        <w:numPr>
          <w:ilvl w:val="0"/>
          <w:numId w:val="1008"/>
        </w:numPr>
      </w:pPr>
      <w:r>
        <w:t xml:space="preserve">Addressing</w:t>
      </w:r>
    </w:p>
    <w:p>
      <w:pPr>
        <w:pStyle w:val="Compact"/>
        <w:numPr>
          <w:ilvl w:val="0"/>
          <w:numId w:val="1008"/>
        </w:numPr>
      </w:pPr>
      <w:r>
        <w:t xml:space="preserve">Certificates</w:t>
      </w:r>
    </w:p>
    <w:p>
      <w:pPr>
        <w:pStyle w:val="Compact"/>
        <w:numPr>
          <w:ilvl w:val="0"/>
          <w:numId w:val="1008"/>
        </w:numPr>
      </w:pPr>
      <w:r>
        <w:t xml:space="preserve">Path</w:t>
      </w:r>
    </w:p>
    <w:p>
      <w:pPr>
        <w:pStyle w:val="Compact"/>
        <w:numPr>
          <w:ilvl w:val="0"/>
          <w:numId w:val="1008"/>
        </w:numPr>
      </w:pPr>
      <w:r>
        <w:t xml:space="preserve">QoS</w:t>
      </w:r>
    </w:p>
    <w:p>
      <w:pPr>
        <w:pStyle w:val="Compact"/>
        <w:numPr>
          <w:ilvl w:val="0"/>
          <w:numId w:val="1008"/>
        </w:numPr>
      </w:pPr>
      <w:r>
        <w:t xml:space="preserve">Telemetry</w:t>
      </w:r>
    </w:p>
    <w:p>
      <w:pPr>
        <w:pStyle w:val="FirstParagraph"/>
      </w:pPr>
      <w:r>
        <w:t xml:space="preserve">bound together as a single correlated unit.</w:t>
      </w:r>
    </w:p>
    <w:bookmarkEnd w:id="32"/>
    <w:bookmarkStart w:id="33" w:name="deterministic-behavior"/>
    <w:p>
      <w:pPr>
        <w:pStyle w:val="Heading3"/>
      </w:pPr>
      <w:r>
        <w:t xml:space="preserve">1.7.2 7.2 Deterministic Behavior</w:t>
      </w:r>
    </w:p>
    <w:p>
      <w:pPr>
        <w:pStyle w:val="FirstParagraph"/>
      </w:pPr>
      <w:r>
        <w:t xml:space="preserve">Given identical identity, boundary, telemetry, and assurance inputs, the system produces identical decisions across clouds and agencies.</w:t>
      </w:r>
    </w:p>
    <w:bookmarkEnd w:id="33"/>
    <w:bookmarkStart w:id="34" w:name="continuous-evaluation"/>
    <w:p>
      <w:pPr>
        <w:pStyle w:val="Heading3"/>
      </w:pPr>
      <w:r>
        <w:t xml:space="preserve">1.7.3 7.3 Continuous Evaluation</w:t>
      </w:r>
    </w:p>
    <w:p>
      <w:pPr>
        <w:pStyle w:val="FirstParagraph"/>
      </w:pPr>
      <w:r>
        <w:t xml:space="preserve">Telemetry continuously informs:</w:t>
      </w:r>
    </w:p>
    <w:p>
      <w:pPr>
        <w:pStyle w:val="Compact"/>
        <w:numPr>
          <w:ilvl w:val="0"/>
          <w:numId w:val="1009"/>
        </w:numPr>
      </w:pPr>
      <w:r>
        <w:t xml:space="preserve">Routing</w:t>
      </w:r>
    </w:p>
    <w:p>
      <w:pPr>
        <w:pStyle w:val="Compact"/>
        <w:numPr>
          <w:ilvl w:val="0"/>
          <w:numId w:val="1009"/>
        </w:numPr>
      </w:pPr>
      <w:r>
        <w:t xml:space="preserve">Access</w:t>
      </w:r>
    </w:p>
    <w:p>
      <w:pPr>
        <w:pStyle w:val="Compact"/>
        <w:numPr>
          <w:ilvl w:val="0"/>
          <w:numId w:val="1009"/>
        </w:numPr>
      </w:pPr>
      <w:r>
        <w:t xml:space="preserve">Segmentation</w:t>
      </w:r>
    </w:p>
    <w:p>
      <w:pPr>
        <w:pStyle w:val="Compact"/>
        <w:numPr>
          <w:ilvl w:val="0"/>
          <w:numId w:val="1009"/>
        </w:numPr>
      </w:pPr>
      <w:r>
        <w:t xml:space="preserve">Compliance posture</w:t>
      </w:r>
    </w:p>
    <w:p>
      <w:pPr>
        <w:pStyle w:val="FirstParagraph"/>
      </w:pPr>
      <w:r>
        <w:t xml:space="preserve">This ensures real-time alignment with Zero Trust and FedRAMP 20x.</w:t>
      </w:r>
    </w:p>
    <w:p>
      <w:r>
        <w:pict>
          <v:rect style="width:0;height:1.5pt" o:hralign="center" o:hrstd="t" o:hr="t"/>
        </w:pict>
      </w:r>
    </w:p>
    <w:bookmarkEnd w:id="34"/>
    <w:bookmarkEnd w:id="35"/>
    <w:bookmarkStart w:id="40" w:name="compliance-mapping"/>
    <w:p>
      <w:pPr>
        <w:pStyle w:val="Heading2"/>
      </w:pPr>
      <w:r>
        <w:t xml:space="preserve">1.8 8. Compliance Mapping</w:t>
      </w:r>
    </w:p>
    <w:p>
      <w:pPr>
        <w:pStyle w:val="FirstParagraph"/>
      </w:pPr>
      <w:r>
        <w:t xml:space="preserve">The Program Vision aligns with:</w:t>
      </w:r>
    </w:p>
    <w:bookmarkStart w:id="36" w:name="fedramp-20x"/>
    <w:p>
      <w:pPr>
        <w:pStyle w:val="Heading3"/>
      </w:pPr>
      <w:r>
        <w:t xml:space="preserve">1.8.1 8.1 FedRAMP 20x</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36"/>
    <w:bookmarkStart w:id="37" w:name="tic-3.0"/>
    <w:p>
      <w:pPr>
        <w:pStyle w:val="Heading3"/>
      </w:pPr>
      <w:r>
        <w:t xml:space="preserve">1.8.2 8.2 TIC 3.0</w:t>
      </w:r>
    </w:p>
    <w:p>
      <w:pPr>
        <w:pStyle w:val="Compact"/>
        <w:numPr>
          <w:ilvl w:val="0"/>
          <w:numId w:val="1011"/>
        </w:numPr>
      </w:pPr>
      <w:r>
        <w:t xml:space="preserve">Cloud Use Case</w:t>
      </w:r>
    </w:p>
    <w:p>
      <w:pPr>
        <w:pStyle w:val="Compact"/>
        <w:numPr>
          <w:ilvl w:val="0"/>
          <w:numId w:val="1011"/>
        </w:numPr>
      </w:pPr>
      <w:r>
        <w:t xml:space="preserve">Branch Use Case</w:t>
      </w:r>
    </w:p>
    <w:p>
      <w:pPr>
        <w:pStyle w:val="Compact"/>
        <w:numPr>
          <w:ilvl w:val="0"/>
          <w:numId w:val="1011"/>
        </w:numPr>
      </w:pPr>
      <w:r>
        <w:t xml:space="preserve">Identity-centric segmentation</w:t>
      </w:r>
    </w:p>
    <w:bookmarkEnd w:id="37"/>
    <w:bookmarkStart w:id="38" w:name="nist-800-63"/>
    <w:p>
      <w:pPr>
        <w:pStyle w:val="Heading3"/>
      </w:pPr>
      <w:r>
        <w:t xml:space="preserve">1.8.3 8.3 NIST 800-63</w:t>
      </w:r>
    </w:p>
    <w:p>
      <w:pPr>
        <w:pStyle w:val="Compact"/>
        <w:numPr>
          <w:ilvl w:val="0"/>
          <w:numId w:val="1012"/>
        </w:numPr>
      </w:pPr>
      <w:r>
        <w:t xml:space="preserve">Identity assurance</w:t>
      </w:r>
    </w:p>
    <w:p>
      <w:pPr>
        <w:pStyle w:val="Compact"/>
        <w:numPr>
          <w:ilvl w:val="0"/>
          <w:numId w:val="1012"/>
        </w:numPr>
      </w:pPr>
      <w:r>
        <w:t xml:space="preserve">Authentication modernization</w:t>
      </w:r>
    </w:p>
    <w:p>
      <w:pPr>
        <w:pStyle w:val="Compact"/>
        <w:numPr>
          <w:ilvl w:val="0"/>
          <w:numId w:val="1012"/>
        </w:numPr>
      </w:pPr>
      <w:r>
        <w:t xml:space="preserve">ICAM governance</w:t>
      </w:r>
    </w:p>
    <w:bookmarkEnd w:id="38"/>
    <w:bookmarkStart w:id="39" w:name="scuba"/>
    <w:p>
      <w:pPr>
        <w:pStyle w:val="Heading3"/>
      </w:pPr>
      <w:r>
        <w:t xml:space="preserve">1.8.4 8.4 SCuBA</w:t>
      </w:r>
    </w:p>
    <w:p>
      <w:pPr>
        <w:pStyle w:val="Compact"/>
        <w:numPr>
          <w:ilvl w:val="0"/>
          <w:numId w:val="1013"/>
        </w:numPr>
      </w:pPr>
      <w:r>
        <w:t xml:space="preserve">M365 hardening</w:t>
      </w:r>
    </w:p>
    <w:p>
      <w:pPr>
        <w:pStyle w:val="Compact"/>
        <w:numPr>
          <w:ilvl w:val="0"/>
          <w:numId w:val="1013"/>
        </w:numPr>
      </w:pPr>
      <w:r>
        <w:t xml:space="preserve">Identity governance</w:t>
      </w:r>
    </w:p>
    <w:p>
      <w:pPr>
        <w:pStyle w:val="Compact"/>
        <w:numPr>
          <w:ilvl w:val="0"/>
          <w:numId w:val="1013"/>
        </w:numPr>
      </w:pPr>
      <w:r>
        <w:t xml:space="preserve">Telemetry integration</w:t>
      </w:r>
    </w:p>
    <w:p>
      <w:r>
        <w:pict>
          <v:rect style="width:0;height:1.5pt" o:hralign="center" o:hrstd="t" o:hr="t"/>
        </w:pict>
      </w:r>
    </w:p>
    <w:bookmarkEnd w:id="39"/>
    <w:bookmarkEnd w:id="40"/>
    <w:bookmarkStart w:id="44" w:name="dependencies-sequencing"/>
    <w:p>
      <w:pPr>
        <w:pStyle w:val="Heading2"/>
      </w:pPr>
      <w:r>
        <w:t xml:space="preserve">1.9 9. Dependencies &amp; Sequencing</w:t>
      </w:r>
    </w:p>
    <w:bookmarkStart w:id="41" w:name="upstream-dependencies"/>
    <w:p>
      <w:pPr>
        <w:pStyle w:val="Heading3"/>
      </w:pPr>
      <w:r>
        <w:t xml:space="preserve">1.9.1 Upstream Dependencies</w:t>
      </w:r>
    </w:p>
    <w:p>
      <w:pPr>
        <w:pStyle w:val="Compact"/>
        <w:numPr>
          <w:ilvl w:val="0"/>
          <w:numId w:val="1014"/>
        </w:numPr>
      </w:pPr>
      <w:r>
        <w:t xml:space="preserve">Identity modernization</w:t>
      </w:r>
    </w:p>
    <w:p>
      <w:pPr>
        <w:pStyle w:val="Compact"/>
        <w:numPr>
          <w:ilvl w:val="0"/>
          <w:numId w:val="1014"/>
        </w:numPr>
      </w:pPr>
      <w:r>
        <w:t xml:space="preserve">Network modernization</w:t>
      </w:r>
    </w:p>
    <w:p>
      <w:pPr>
        <w:pStyle w:val="Compact"/>
        <w:numPr>
          <w:ilvl w:val="0"/>
          <w:numId w:val="1014"/>
        </w:numPr>
      </w:pPr>
      <w:r>
        <w:t xml:space="preserve">IPAM modernization</w:t>
      </w:r>
    </w:p>
    <w:p>
      <w:pPr>
        <w:pStyle w:val="Compact"/>
        <w:numPr>
          <w:ilvl w:val="0"/>
          <w:numId w:val="1014"/>
        </w:numPr>
      </w:pPr>
      <w:r>
        <w:t xml:space="preserve">Telemetry integration</w:t>
      </w:r>
    </w:p>
    <w:bookmarkEnd w:id="41"/>
    <w:bookmarkStart w:id="42" w:name="downstream-dependencies"/>
    <w:p>
      <w:pPr>
        <w:pStyle w:val="Heading3"/>
      </w:pPr>
      <w:r>
        <w:t xml:space="preserve">1.9.2 Downstream Dependencies</w:t>
      </w:r>
    </w:p>
    <w:p>
      <w:pPr>
        <w:pStyle w:val="Compact"/>
        <w:numPr>
          <w:ilvl w:val="0"/>
          <w:numId w:val="1015"/>
        </w:numPr>
      </w:pPr>
      <w:r>
        <w:t xml:space="preserve">Leadership briefing</w:t>
      </w:r>
    </w:p>
    <w:p>
      <w:pPr>
        <w:pStyle w:val="Compact"/>
        <w:numPr>
          <w:ilvl w:val="0"/>
          <w:numId w:val="1015"/>
        </w:numPr>
      </w:pPr>
      <w:r>
        <w:t xml:space="preserve">Modernization timeline</w:t>
      </w:r>
    </w:p>
    <w:p>
      <w:pPr>
        <w:pStyle w:val="Compact"/>
        <w:numPr>
          <w:ilvl w:val="0"/>
          <w:numId w:val="1015"/>
        </w:numPr>
      </w:pPr>
      <w:r>
        <w:t xml:space="preserve">TIC 3.0 packages</w:t>
      </w:r>
    </w:p>
    <w:p>
      <w:pPr>
        <w:pStyle w:val="Compact"/>
        <w:numPr>
          <w:ilvl w:val="0"/>
          <w:numId w:val="1015"/>
        </w:numPr>
      </w:pPr>
      <w:r>
        <w:t xml:space="preserve">FedRAMP crosswalk</w:t>
      </w:r>
    </w:p>
    <w:bookmarkEnd w:id="42"/>
    <w:bookmarkStart w:id="43" w:name="timeline-alignment"/>
    <w:p>
      <w:pPr>
        <w:pStyle w:val="Heading3"/>
      </w:pPr>
      <w:r>
        <w:t xml:space="preserve">1.9.3 Timeline Alignment</w:t>
      </w:r>
    </w:p>
    <w:p>
      <w:pPr>
        <w:pStyle w:val="FirstParagraph"/>
      </w:pPr>
      <w:r>
        <w:t xml:space="preserve">The Program Vision informs all phases of the modernization timeline.</w:t>
      </w:r>
    </w:p>
    <w:p>
      <w:r>
        <w:pict>
          <v:rect style="width:0;height:1.5pt" o:hralign="center" o:hrstd="t" o:hr="t"/>
        </w:pict>
      </w:r>
    </w:p>
    <w:bookmarkEnd w:id="43"/>
    <w:bookmarkEnd w:id="44"/>
    <w:bookmarkStart w:id="49" w:name="governance-drift-controls"/>
    <w:p>
      <w:pPr>
        <w:pStyle w:val="Heading2"/>
      </w:pPr>
      <w:r>
        <w:t xml:space="preserve">1.10 10. Governance &amp; Drift Controls</w:t>
      </w:r>
    </w:p>
    <w:bookmarkStart w:id="45" w:name="source-of-authority"/>
    <w:p>
      <w:pPr>
        <w:pStyle w:val="Heading3"/>
      </w:pPr>
      <w:r>
        <w:t xml:space="preserve">1.10.1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5"/>
    <w:bookmarkStart w:id="46" w:name="drift-detection"/>
    <w:p>
      <w:pPr>
        <w:pStyle w:val="Heading3"/>
      </w:pPr>
      <w:r>
        <w:t xml:space="preserve">1.10.2 Drift Detection</w:t>
      </w:r>
    </w:p>
    <w:p>
      <w:pPr>
        <w:pStyle w:val="Compact"/>
        <w:numPr>
          <w:ilvl w:val="0"/>
          <w:numId w:val="1016"/>
        </w:numPr>
      </w:pPr>
      <w:r>
        <w:t xml:space="preserve">CMDB reconciliation</w:t>
      </w:r>
    </w:p>
    <w:p>
      <w:pPr>
        <w:pStyle w:val="Compact"/>
        <w:numPr>
          <w:ilvl w:val="0"/>
          <w:numId w:val="1016"/>
        </w:numPr>
      </w:pPr>
      <w:r>
        <w:t xml:space="preserve">Intune compliance</w:t>
      </w:r>
    </w:p>
    <w:p>
      <w:pPr>
        <w:pStyle w:val="Compact"/>
        <w:numPr>
          <w:ilvl w:val="0"/>
          <w:numId w:val="1016"/>
        </w:numPr>
      </w:pPr>
      <w:r>
        <w:t xml:space="preserve">SD-WAN overlay validation</w:t>
      </w:r>
    </w:p>
    <w:p>
      <w:pPr>
        <w:pStyle w:val="Compact"/>
        <w:numPr>
          <w:ilvl w:val="0"/>
          <w:numId w:val="1016"/>
        </w:numPr>
      </w:pPr>
      <w:r>
        <w:t xml:space="preserve">IPAM reconciliation</w:t>
      </w:r>
    </w:p>
    <w:bookmarkEnd w:id="46"/>
    <w:bookmarkStart w:id="47" w:name="remediation-workflow"/>
    <w:p>
      <w:pPr>
        <w:pStyle w:val="Heading3"/>
      </w:pPr>
      <w:r>
        <w:t xml:space="preserve">1.10.3 Remediation Workflow</w:t>
      </w:r>
    </w:p>
    <w:p>
      <w:pPr>
        <w:pStyle w:val="Compact"/>
        <w:numPr>
          <w:ilvl w:val="0"/>
          <w:numId w:val="1017"/>
        </w:numPr>
      </w:pPr>
      <w:r>
        <w:t xml:space="preserve">Automated ServiceNow change</w:t>
      </w:r>
    </w:p>
    <w:p>
      <w:pPr>
        <w:pStyle w:val="Compact"/>
        <w:numPr>
          <w:ilvl w:val="0"/>
          <w:numId w:val="1017"/>
        </w:numPr>
      </w:pPr>
      <w:r>
        <w:t xml:space="preserve">Conditional Access enforcement</w:t>
      </w:r>
    </w:p>
    <w:p>
      <w:pPr>
        <w:pStyle w:val="Compact"/>
        <w:numPr>
          <w:ilvl w:val="0"/>
          <w:numId w:val="1017"/>
        </w:numPr>
      </w:pPr>
      <w:r>
        <w:t xml:space="preserve">Certificate renewal</w:t>
      </w:r>
    </w:p>
    <w:p>
      <w:pPr>
        <w:pStyle w:val="Compact"/>
        <w:numPr>
          <w:ilvl w:val="0"/>
          <w:numId w:val="1017"/>
        </w:numPr>
      </w:pPr>
      <w:r>
        <w:t xml:space="preserve">IPAM correction</w:t>
      </w:r>
    </w:p>
    <w:bookmarkEnd w:id="47"/>
    <w:bookmarkStart w:id="48" w:name="audit-anchors"/>
    <w:p>
      <w:pPr>
        <w:pStyle w:val="Heading3"/>
      </w:pPr>
      <w:r>
        <w:t xml:space="preserve">1.10.4 Audit Anchors</w:t>
      </w:r>
    </w:p>
    <w:p>
      <w:pPr>
        <w:pStyle w:val="Compact"/>
        <w:numPr>
          <w:ilvl w:val="0"/>
          <w:numId w:val="1018"/>
        </w:numPr>
      </w:pPr>
      <w:r>
        <w:t xml:space="preserve">Entra ID logs</w:t>
      </w:r>
    </w:p>
    <w:p>
      <w:pPr>
        <w:pStyle w:val="Compact"/>
        <w:numPr>
          <w:ilvl w:val="0"/>
          <w:numId w:val="1018"/>
        </w:numPr>
      </w:pPr>
      <w:r>
        <w:t xml:space="preserve">Infoblox API records</w:t>
      </w:r>
    </w:p>
    <w:p>
      <w:pPr>
        <w:pStyle w:val="Compact"/>
        <w:numPr>
          <w:ilvl w:val="0"/>
          <w:numId w:val="1018"/>
        </w:numPr>
      </w:pPr>
      <w:r>
        <w:t xml:space="preserve">SD-WAN telemetry</w:t>
      </w:r>
    </w:p>
    <w:p>
      <w:pPr>
        <w:pStyle w:val="Compact"/>
        <w:numPr>
          <w:ilvl w:val="0"/>
          <w:numId w:val="1018"/>
        </w:numPr>
      </w:pPr>
      <w:r>
        <w:t xml:space="preserve">Intune compliance reports</w:t>
      </w:r>
    </w:p>
    <w:p>
      <w:pPr>
        <w:pStyle w:val="Compact"/>
        <w:numPr>
          <w:ilvl w:val="0"/>
          <w:numId w:val="1018"/>
        </w:numPr>
      </w:pPr>
      <w:r>
        <w:t xml:space="preserve">ServiceNow audit trails</w:t>
      </w:r>
    </w:p>
    <w:p>
      <w:r>
        <w:pict>
          <v:rect style="width:0;height:1.5pt" o:hralign="center" o:hrstd="t" o:hr="t"/>
        </w:pict>
      </w:r>
    </w:p>
    <w:bookmarkEnd w:id="48"/>
    <w:bookmarkEnd w:id="49"/>
    <w:bookmarkStart w:id="54" w:name="appendices"/>
    <w:p>
      <w:pPr>
        <w:pStyle w:val="Heading2"/>
      </w:pPr>
      <w:r>
        <w:t xml:space="preserve">1.11 11. Appendices</w:t>
      </w:r>
    </w:p>
    <w:bookmarkStart w:id="50"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0"/>
    <w:bookmarkStart w:id="51" w:name="appendix-b-tables"/>
    <w:p>
      <w:pPr>
        <w:pStyle w:val="Heading3"/>
      </w:pPr>
      <w:r>
        <w:t xml:space="preserve">1.11.2 Appendix B: Tables</w:t>
      </w:r>
    </w:p>
    <w:p>
      <w:pPr>
        <w:pStyle w:val="FirstParagraph"/>
      </w:pPr>
      <w:r>
        <w:rPr>
          <w:i/>
          <w:iCs/>
        </w:rPr>
        <w:t xml:space="preserve">Control Plane Alignment table is in Section 4. Technology Pillars are in Section 6.2.</w:t>
      </w:r>
    </w:p>
    <w:bookmarkEnd w:id="51"/>
    <w:bookmarkStart w:id="52"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2"/>
    <w:bookmarkStart w:id="53"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3"/>
    <w:bookmarkEnd w:id="54"/>
    <w:bookmarkStart w:id="55"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Programvision</dc:title>
  <dc:creator>UIAO Modernization Program</dc:creator>
  <dc:language>en</dc:language>
  <cp:keywords/>
  <dcterms:created xsi:type="dcterms:W3CDTF">2026-04-03T14:32:18Z</dcterms:created>
  <dcterms:modified xsi:type="dcterms:W3CDTF">2026-04-03T14:32:18Z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