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3" w:name="X7449374f31b7fd718f8b7a4826f5853e21136d3"/>
    <w:p>
      <w:pPr>
        <w:pStyle w:val="Heading1"/>
      </w:pPr>
      <w:r>
        <w:t xml:space="preserve">The Overlay Pillar: Fabric Automation &amp; Segmentation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Cs/>
          <w:b/>
        </w:rPr>
        <w:t xml:space="preserve">Overlay Plane</w:t>
      </w:r>
      <w:r>
        <w:t xml:space="preserve"> </w:t>
      </w:r>
      <w:r>
        <w:t xml:space="preserve">decouples the agency’s logical network from the underlying physical hardware. Utilizing VXLAN encapsulation and Cisco SD-Access, we create a programmable fabric.</w:t>
      </w:r>
    </w:p>
    <w:bookmarkStart w:id="22" w:name="strategic-impact"/>
    <w:p>
      <w:pPr>
        <w:pStyle w:val="Heading2"/>
      </w:pPr>
      <w:r>
        <w:t xml:space="preserve">Strategic Impact</w:t>
      </w:r>
    </w:p>
    <w:p>
      <w:pPr>
        <w:pStyle w:val="FirstParagraph"/>
      </w:pPr>
      <w:r>
        <w:t xml:space="preserve">The Overlay Pillar is the primary mechanism for enforcing the</w:t>
      </w:r>
      <w:r>
        <w:t xml:space="preserve"> </w:t>
      </w:r>
      <w:r>
        <w:rPr>
          <w:bCs/>
          <w:b/>
        </w:rPr>
        <w:t xml:space="preserve">Zero-Trust</w:t>
      </w:r>
      <w:r>
        <w:t xml:space="preserve"> </w:t>
      </w:r>
      <w:r>
        <w:t xml:space="preserve">mandates defined in</w:t>
      </w:r>
      <w:r>
        <w:t xml:space="preserve"> </w:t>
      </w:r>
      <w:r>
        <w:rPr>
          <w:bCs/>
          <w:b/>
        </w:rPr>
        <w:t xml:space="preserve">FedRAMP 20x Phase 2</w:t>
      </w:r>
      <w:r>
        <w:t xml:space="preserve">. It allows us to apply security policies to</w:t>
      </w:r>
      <w:r>
        <w:t xml:space="preserve"> </w:t>
      </w:r>
      <w:r>
        <w:rPr>
          <w:iCs/>
          <w:i/>
        </w:rPr>
        <w:t xml:space="preserve">identities</w:t>
      </w:r>
      <w:r>
        <w:t xml:space="preserve"> </w:t>
      </w:r>
      <w:r>
        <w:t xml:space="preserve">(SGTs) rather than</w:t>
      </w:r>
      <w:r>
        <w:t xml:space="preserve"> </w:t>
      </w:r>
      <w:r>
        <w:rPr>
          <w:iCs/>
          <w:i/>
        </w:rPr>
        <w:t xml:space="preserve">locations</w:t>
      </w:r>
      <w:r>
        <w:t xml:space="preserve">.</w:t>
      </w:r>
    </w:p>
    <w:bookmarkStart w:id="20" w:name="technical-advantages"/>
    <w:p>
      <w:pPr>
        <w:pStyle w:val="Heading3"/>
      </w:pPr>
      <w:r>
        <w:t xml:space="preserve">Technical Advantages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Micro-segmentation:</w:t>
      </w:r>
      <w:r>
        <w:t xml:space="preserve"> </w:t>
      </w:r>
      <w:r>
        <w:t xml:space="preserve">Prevents lateral movement across the agency datacenter by enforcing SGACLs at the edge port.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Macro-segmentation:</w:t>
      </w:r>
      <w:r>
        <w:t xml:space="preserve"> </w:t>
      </w:r>
      <w:r>
        <w:t xml:space="preserve">Maintains strict isolation between production, development, and guest environments at the VRF level.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Operational Simplicity:</w:t>
      </w:r>
      <w:r>
        <w:t xml:space="preserve"> </w:t>
      </w:r>
      <w:r>
        <w:t xml:space="preserve">Removes the need for complex, manual VLAN spanning and STP management.</w:t>
      </w:r>
    </w:p>
    <w:bookmarkEnd w:id="20"/>
    <w:bookmarkStart w:id="21" w:name="roadmap-to-phase-3"/>
    <w:p>
      <w:pPr>
        <w:pStyle w:val="Heading3"/>
      </w:pPr>
      <w:r>
        <w:t xml:space="preserve">Roadmap to Phase 3</w:t>
      </w:r>
    </w:p>
    <w:p>
      <w:pPr>
        <w:pStyle w:val="FirstParagraph"/>
      </w:pPr>
      <w:r>
        <w:t xml:space="preserve">As we conclude the</w:t>
      </w:r>
      <w:r>
        <w:t xml:space="preserve"> </w:t>
      </w:r>
      <w:r>
        <w:rPr>
          <w:bCs/>
          <w:b/>
        </w:rPr>
        <w:t xml:space="preserve">FedRAMP 20x Phase 2 Pilot</w:t>
      </w:r>
      <w:r>
        <w:t xml:space="preserve"> </w:t>
      </w:r>
      <w:r>
        <w:t xml:space="preserve">on March 31, the Overlay Pillar provides the foundation for Phase 3 (Q3 2026).</w:t>
      </w:r>
    </w:p>
    <w:bookmarkEnd w:id="21"/>
    <w:bookmarkEnd w:id="22"/>
    <w:bookmarkEnd w:id="2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2026-03-23T00:48:28Z</dcterms:created>
  <dcterms:modified xsi:type="dcterms:W3CDTF">2026-03-23T00:48:28Z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