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bfc6a7b8ea36b89e6552e64b12f3378bbb58630"/>
    <w:p>
      <w:pPr>
        <w:pStyle w:val="Heading1"/>
      </w:pPr>
      <w:r>
        <w:t xml:space="preserve">The Addressing Pillar: Automated IPAM &amp; Visibility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Addressing Plane</w:t>
      </w:r>
      <w:r>
        <w:t xml:space="preserve"> </w:t>
      </w:r>
      <w:r>
        <w:t xml:space="preserve">serves as the agency’s geographical and logical coordinate system.</w:t>
      </w:r>
    </w:p>
    <w:bookmarkStart w:id="22" w:name="fedramp-20x-phase-2-alignment"/>
    <w:p>
      <w:pPr>
        <w:pStyle w:val="Heading2"/>
      </w:pPr>
      <w:r>
        <w:t xml:space="preserve">FedRAMP 20x Phase 2 Alignment</w:t>
      </w:r>
    </w:p>
    <w:p>
      <w:pPr>
        <w:pStyle w:val="FirstParagraph"/>
      </w:pPr>
      <w:r>
        <w:t xml:space="preserve">Under the current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 </w:t>
      </w:r>
      <w:r>
        <w:t xml:space="preserve">(ending March 31, 2026), the agency is required to demonstrate 100%% endpoint visibility and rigorous logging of all IP assignments (OMB M-21-31).</w:t>
      </w:r>
    </w:p>
    <w:bookmarkStart w:id="20" w:name="key-capabilities"/>
    <w:p>
      <w:pPr>
        <w:pStyle w:val="Heading3"/>
      </w:pPr>
      <w:r>
        <w:t xml:space="preserve">Key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 IPAM:</w:t>
      </w:r>
      <w:r>
        <w:t xml:space="preserve"> </w:t>
      </w:r>
      <w:r>
        <w:t xml:space="preserve">Real-time allocation of RFC 1918 space via API, eliminating subnet overlap.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 Integrity:</w:t>
      </w:r>
      <w:r>
        <w:t xml:space="preserve"> </w:t>
      </w:r>
      <w:r>
        <w:t xml:space="preserve">Automated A and PTR record generation ensuring security logs reflect hostnames.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3 Readiness:</w:t>
      </w:r>
      <w:r>
        <w:t xml:space="preserve"> </w:t>
      </w:r>
      <w:r>
        <w:t xml:space="preserve">Standardizing IPAM now ensures seamless transition to</w:t>
      </w:r>
      <w:r>
        <w:t xml:space="preserve"> </w:t>
      </w:r>
      <w:r>
        <w:rPr>
          <w:bCs/>
          <w:b/>
        </w:rPr>
        <w:t xml:space="preserve">FedRAMP 20x Phase 3</w:t>
      </w:r>
      <w:r>
        <w:t xml:space="preserve"> </w:t>
      </w:r>
      <w:r>
        <w:t xml:space="preserve">in Q3 2026.</w:t>
      </w:r>
    </w:p>
    <w:bookmarkEnd w:id="20"/>
    <w:bookmarkStart w:id="21" w:name="implementation-standard"/>
    <w:p>
      <w:pPr>
        <w:pStyle w:val="Heading3"/>
      </w:pPr>
      <w:r>
        <w:t xml:space="preserve">Implementation Standard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Appendix A-02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Appendix A-04</w:t>
      </w:r>
      <w:r>
        <w:t xml:space="preserve"> </w:t>
      </w:r>
      <w:r>
        <w:t xml:space="preserve">for the authoritative IP hierarchy and DNS zone structures.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2026-03-22T16:33:07Z</dcterms:created>
  <dcterms:modified xsi:type="dcterms:W3CDTF">2026-03-22T16:33:07Z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