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Xb8777d6b2b285de06fa4aceefac20fd7504645c"/>
    <w:p>
      <w:pPr>
        <w:pStyle w:val="Heading1"/>
      </w:pPr>
      <w:r>
        <w:t xml:space="preserve">Unified Identity-Addressing-Overlay Architecture - Control Plane Architecture</w:t>
      </w:r>
    </w:p>
    <w:p>
      <w:pPr>
        <w:pStyle w:val="FirstParagraph"/>
      </w:pPr>
      <w:r>
        <w:t xml:space="preserve">Canonical definitions for the six control planes that form the unified modernization architecture.</w:t>
      </w:r>
    </w:p>
    <w:p>
      <w:r>
        <w:pict>
          <v:rect style="width:0;height:1.5pt" o:hralign="center" o:hrstd="t" o:hr="t"/>
        </w:pict>
      </w:r>
    </w:p>
    <w:bookmarkStart w:id="20" w:name="cross-plane-integration-matrix"/>
    <w:p>
      <w:pPr>
        <w:pStyle w:val="Heading2"/>
      </w:pPr>
      <w:r>
        <w:t xml:space="preserve">Cross-Plane Integration Matrix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2026-03-21T20:36:23Z</dcterms:created>
  <dcterms:modified xsi:type="dcterms:W3CDTF">2026-03-21T20:36:23Z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