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nist-800-53-rev.-5-control-mappings"/>
    <w:p>
      <w:pPr>
        <w:pStyle w:val="Heading1"/>
      </w:pPr>
      <w:r>
        <w:t xml:space="preserve">NIST 800-53 Rev. 5 Control Mappings</w:t>
      </w:r>
    </w:p>
    <w:p>
      <w:pPr>
        <w:pStyle w:val="FirstParagraph"/>
      </w:pPr>
      <w:r>
        <w:t xml:space="preserve">This document provides a high-fidelity mapping of 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architecture planes to the</w:t>
      </w:r>
      <w:r>
        <w:t xml:space="preserve"> </w:t>
      </w:r>
      <w:r>
        <w:rPr>
          <w:bCs/>
          <w:b/>
        </w:rPr>
        <w:t xml:space="preserve">NIST 800-53 Rev. 5</w:t>
      </w:r>
      <w:r>
        <w:t xml:space="preserve"> </w:t>
      </w:r>
      <w:r>
        <w:t xml:space="preserve">control families. These mappings are critical for the agency’s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(concluding March 31, 2026) and establish the compliance baseline for the transition to</w:t>
      </w:r>
      <w:r>
        <w:t xml:space="preserve"> </w:t>
      </w:r>
      <w:r>
        <w:rPr>
          <w:bCs/>
          <w:b/>
        </w:rPr>
        <w:t xml:space="preserve">Phase 3</w:t>
      </w:r>
      <w:r>
        <w:t xml:space="preserve"> </w:t>
      </w:r>
      <w:r>
        <w:t xml:space="preserve">in Q3 2026.</w:t>
      </w:r>
    </w:p>
    <w:bookmarkStart w:id="20" w:name="identity-plane-zero-trust-core"/>
    <w:p>
      <w:pPr>
        <w:pStyle w:val="Heading2"/>
      </w:pPr>
      <w:r>
        <w:t xml:space="preserve">1. Identity Plane (Zero-Trust Core)</w:t>
      </w:r>
    </w:p>
    <w:p>
      <w:pPr>
        <w:pStyle w:val="FirstParagraph"/>
      </w:pPr>
      <w:r>
        <w:rPr>
          <w:iCs/>
          <w:i/>
        </w:rPr>
        <w:t xml:space="preserve">Focus: Access Control (AC) and Identification and Authentication (IA)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Azure AD integration for all network administrative and user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ISE-driven SGT assignment ensures privilege-based access at the network ingress.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(Org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 MFA and certificate-based authentication (EAP-TLS) via the Identity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(Non-Org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Guest-access workflows via ISE, providing strict isolation for contractor/external entities.</w:t>
            </w:r>
          </w:p>
        </w:tc>
      </w:tr>
    </w:tbl>
    <w:bookmarkEnd w:id="20"/>
    <w:bookmarkStart w:id="21" w:name="X633768c6a161e48388b2bbcc699eb85058a44d1"/>
    <w:p>
      <w:pPr>
        <w:pStyle w:val="Heading2"/>
      </w:pPr>
      <w:r>
        <w:t xml:space="preserve">2. Addressing Plane (Visibility and Inventory)</w:t>
      </w:r>
    </w:p>
    <w:p>
      <w:pPr>
        <w:pStyle w:val="FirstParagraph"/>
      </w:pPr>
      <w:r>
        <w:rPr>
          <w:iCs/>
          <w:i/>
        </w:rPr>
        <w:t xml:space="preserve">Focus: Configuration Management (CM) and System and Comm. Protection (SC)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appendices.yml acts as the immutable baseline for all site IP and DNS configurations.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Infoblox IPAM provides a real-time, authoritative inventory of every connected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Name / Address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 and automated DNS zone protection (Appendix A-04) ensure the integrity of the name resolution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Name / Address Resolution (Recursive)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DNS hierarchy prevents DNS poisoning and ensures recursive queries follow agency-approved paths.</w:t>
            </w:r>
          </w:p>
        </w:tc>
      </w:tr>
    </w:tbl>
    <w:bookmarkEnd w:id="21"/>
    <w:bookmarkStart w:id="22" w:name="overlay-plane-segmentation-and-isolation"/>
    <w:p>
      <w:pPr>
        <w:pStyle w:val="Heading2"/>
      </w:pPr>
      <w:r>
        <w:t xml:space="preserve">3. Overlay Plane (Segmentation and Isolation)</w:t>
      </w:r>
    </w:p>
    <w:p>
      <w:pPr>
        <w:pStyle w:val="FirstParagraph"/>
      </w:pPr>
      <w:r>
        <w:rPr>
          <w:iCs/>
          <w:i/>
        </w:rPr>
        <w:t xml:space="preserve">Focus: System and Communications Protection (SC)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fabric utilizes VRFs (Macro-segmentation) to create immutable boundaries between security zones.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Isolation / Segmenting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SGACLs (Appendix BA-02) enforce micro-segmentation, preventing lateral movement between disparate host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Confidentiality and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Edge (Appendix AA-02) mandates AES-256-GCM encryption for all inter-site data in transit.</w:t>
            </w:r>
          </w:p>
        </w:tc>
      </w:tr>
    </w:tbl>
    <w:bookmarkEnd w:id="22"/>
    <w:bookmarkStart w:id="23" w:name="X5224d58425edc3288cf3d7f729738d233dc0251"/>
    <w:p>
      <w:pPr>
        <w:pStyle w:val="Heading2"/>
      </w:pPr>
      <w:r>
        <w:t xml:space="preserve">4. Telemetry Plane (Accountability and Monitoring)</w:t>
      </w:r>
    </w:p>
    <w:p>
      <w:pPr>
        <w:pStyle w:val="FirstParagraph"/>
      </w:pPr>
      <w:r>
        <w:rPr>
          <w:iCs/>
          <w:i/>
        </w:rPr>
        <w:t xml:space="preserve">Focus: Audit and Accountability (AU) and System and Info Integrity (SI)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Splunk integration captures every CLI change and automated API call in the uiao-core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Record Review, Analysis,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feedback system correlates identity (SGT) with traffic logs for rapid incident reconstruction.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telemetry via Azure Monitor provides continuous monitoring of infrastructure health and security posture.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edramp-20x-phase-2-compliance-note"/>
    <w:p>
      <w:pPr>
        <w:pStyle w:val="Heading2"/>
      </w:pPr>
      <w:r>
        <w:t xml:space="preserve">FedRAMP 20x Phase 2 Compliance Note</w:t>
      </w:r>
    </w:p>
    <w:p>
      <w:pPr>
        <w:pStyle w:val="FirstParagraph"/>
      </w:pPr>
      <w:r>
        <w:t xml:space="preserve">As of</w:t>
      </w:r>
      <w:r>
        <w:t xml:space="preserve"> </w:t>
      </w:r>
      <w:r>
        <w:rPr>
          <w:bCs/>
          <w:b/>
        </w:rPr>
        <w:t xml:space="preserve">March 21, 2026</w:t>
      </w:r>
      <w:r>
        <w:t xml:space="preserve">, these mappings have been validated against the current Pilot requirements. Full operationalization of these controls is a prerequisite for the Q3 2026 transition to</w:t>
      </w:r>
      <w:r>
        <w:t xml:space="preserve"> </w:t>
      </w:r>
      <w:r>
        <w:rPr>
          <w:bCs/>
          <w:b/>
        </w:rPr>
        <w:t xml:space="preserve">FedRAMP 20x Phase 3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2026-03-21T20:36:25Z</dcterms:created>
  <dcterms:modified xsi:type="dcterms:W3CDTF">2026-03-21T20:36:25Z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