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UIAO</w:t>
      </w:r>
      <w:r>
        <w:t xml:space="preserve"> </w:t>
      </w:r>
      <w:r>
        <w:t xml:space="preserve">System</w:t>
      </w:r>
      <w:r>
        <w:t xml:space="preserve"> </w:t>
      </w:r>
      <w:r>
        <w:t xml:space="preserve">Architecture</w:t>
      </w:r>
    </w:p>
    <w:bookmarkStart w:id="30" w:name="uiao-system-architecture"/>
    <w:p>
      <w:pPr>
        <w:pStyle w:val="Heading1"/>
      </w:pPr>
      <w:r>
        <w:t xml:space="preserve">UIAO System Architecture</w:t>
      </w:r>
    </w:p>
    <w:p>
      <w:pPr>
        <w:pStyle w:val="FirstParagraph"/>
      </w:pPr>
      <w:r>
        <w:rPr>
          <w:bCs/>
          <w:b/>
        </w:rPr>
        <w:t xml:space="preserve">Version 1.0 | Classification: CUI</w:t>
      </w:r>
    </w:p>
    <w:p>
      <w:r>
        <w:pict>
          <v:rect style="width:0;height:1.5pt" o:hralign="center" o:hrstd="t" o:hr="t"/>
        </w:pict>
      </w:r>
    </w:p>
    <w:bookmarkStart w:id="20" w:name="overview"/>
    <w:p>
      <w:pPr>
        <w:pStyle w:val="Heading2"/>
      </w:pPr>
      <w:r>
        <w:t xml:space="preserve">1. Overview</w:t>
      </w:r>
    </w:p>
    <w:p>
      <w:pPr>
        <w:pStyle w:val="FirstParagraph"/>
      </w:pPr>
      <w:r>
        <w:t xml:space="preserve">The Unified Identity-Addressing-Overlay (UIAO) architecture integrates four control planes into a</w:t>
      </w:r>
      <w:r>
        <w:t xml:space="preserve"> </w:t>
      </w:r>
      <w:r>
        <w:t xml:space="preserve">single cohesive framework operating across a US federal agency network. Each plane governs a</w:t>
      </w:r>
      <w:r>
        <w:t xml:space="preserve"> </w:t>
      </w:r>
      <w:r>
        <w:t xml:space="preserve">distinct operational domain while sharing telemetry, policy signals, and configuration data</w:t>
      </w:r>
      <w:r>
        <w:t xml:space="preserve"> </w:t>
      </w:r>
      <w:r>
        <w:t xml:space="preserve">through well-defined integration points. The result is a vendor-agnostic, programmable</w:t>
      </w:r>
      <w:r>
        <w:t xml:space="preserve"> </w:t>
      </w:r>
      <w:r>
        <w:t xml:space="preserve">infrastructure delivering Zero Trust enforcement at scale.</w:t>
      </w:r>
    </w:p>
    <w:p>
      <w:r>
        <w:pict>
          <v:rect style="width:0;height:1.5pt" o:hralign="center" o:hrstd="t" o:hr="t"/>
        </w:pict>
      </w:r>
    </w:p>
    <w:bookmarkEnd w:id="20"/>
    <w:bookmarkStart w:id="21" w:name="four-plane-system-architecture"/>
    <w:p>
      <w:pPr>
        <w:pStyle w:val="Heading2"/>
      </w:pPr>
      <w:r>
        <w:t xml:space="preserve">2. Four-Plane System Architecture</w:t>
      </w:r>
    </w:p>
    <w:p>
      <w:pPr>
        <w:pStyle w:val="FirstParagraph"/>
      </w:pPr>
      <w:r>
        <w:t xml:space="preserve">The diagram below illustrates the complete UIAO system architecture, showing how the Identity,</w:t>
      </w:r>
      <w:r>
        <w:t xml:space="preserve"> </w:t>
      </w:r>
      <w:r>
        <w:t xml:space="preserve">Addressing, Overlay, and Telemetry control planes interconnect through the central Policy Engine.</w:t>
      </w:r>
    </w:p>
    <w:p>
      <w:pPr>
        <w:pStyle w:val="SourceCode"/>
      </w:pPr>
      <w:r>
        <w:rPr>
          <w:rStyle w:val="VerbatimChar"/>
        </w:rPr>
        <w:t xml:space="preserve">UIAO Four-Plane System Architecture for a US federal agency.</w:t>
      </w:r>
      <w:r>
        <w:br/>
      </w:r>
      <w:r>
        <w:rPr>
          <w:rStyle w:val="VerbatimChar"/>
        </w:rPr>
        <w:t xml:space="preserve">Show four labeled horizontal layers stacked vertically:</w:t>
      </w:r>
      <w:r>
        <w:br/>
      </w:r>
      <w:r>
        <w:rPr>
          <w:rStyle w:val="VerbatimChar"/>
        </w:rPr>
        <w:t xml:space="preserve">1. Identity Plane (top) — Microsoft Entra ID / Azure AD, ICAM, CyberArk PAM, MFA/PIV enforcement.</w:t>
      </w:r>
      <w:r>
        <w:br/>
      </w:r>
      <w:r>
        <w:rPr>
          <w:rStyle w:val="VerbatimChar"/>
        </w:rPr>
        <w:t xml:space="preserve">2. Addressing Plane — InfoBlox DDI/IPAM, DNS, DHCP, DNSSEC.</w:t>
      </w:r>
      <w:r>
        <w:br/>
      </w:r>
      <w:r>
        <w:rPr>
          <w:rStyle w:val="VerbatimChar"/>
        </w:rPr>
        <w:t xml:space="preserve">3. Overlay Plane — Cisco Catalyst SD-WAN, ZTNA micro-segmentation, encrypted WAN tunnels.</w:t>
      </w:r>
      <w:r>
        <w:br/>
      </w:r>
      <w:r>
        <w:rPr>
          <w:rStyle w:val="VerbatimChar"/>
        </w:rPr>
        <w:t xml:space="preserve">4. Telemetry Plane (bottom) — Microsoft Sentinel SIEM, CDM/CLAW, KSI Dashboard, OSCAL evidence export.</w:t>
      </w:r>
      <w:r>
        <w:br/>
      </w:r>
      <w:r>
        <w:rPr>
          <w:rStyle w:val="VerbatimChar"/>
        </w:rPr>
        <w:t xml:space="preserve">In the center, a vertical Policy Engine bar connects all four planes bidirectionally with labeled arrows showing data flows: "AuthN/AuthZ", "IPAM Feed", "Policy Enforcement", "KSI Telemetry".</w:t>
      </w:r>
      <w:r>
        <w:br/>
      </w:r>
      <w:r>
        <w:rPr>
          <w:rStyle w:val="VerbatimChar"/>
        </w:rPr>
        <w:t xml:space="preserve">Add FedRAMP Moderate badge in the top-right corner.</w:t>
      </w:r>
      <w:r>
        <w:br/>
      </w:r>
      <w:r>
        <w:rPr>
          <w:rStyle w:val="VerbatimChar"/>
        </w:rPr>
        <w:t xml:space="preserve">White background, clean sans-serif labels, professional federal blueprint style.</w:t>
      </w:r>
    </w:p>
    <w:p>
      <w:r>
        <w:pict>
          <v:rect style="width:0;height:1.5pt" o:hralign="center" o:hrstd="t" o:hr="t"/>
        </w:pict>
      </w:r>
    </w:p>
    <w:bookmarkEnd w:id="21"/>
    <w:bookmarkStart w:id="26" w:name="control-plane-descriptions"/>
    <w:p>
      <w:pPr>
        <w:pStyle w:val="Heading2"/>
      </w:pPr>
      <w:r>
        <w:t xml:space="preserve">3. Control Plane Descriptions</w:t>
      </w:r>
    </w:p>
    <w:bookmarkStart w:id="22" w:name="identity-plane"/>
    <w:p>
      <w:pPr>
        <w:pStyle w:val="Heading3"/>
      </w:pPr>
      <w:r>
        <w:t xml:space="preserve">3.1 Identity Plane</w:t>
      </w:r>
    </w:p>
    <w:p>
      <w:pPr>
        <w:pStyle w:val="FirstParagraph"/>
      </w:pPr>
      <w:r>
        <w:t xml:space="preserve">The Identity Plane is the authoritative source of truth for</w:t>
      </w:r>
      <w:r>
        <w:t xml:space="preserve"> </w:t>
      </w:r>
      <w:r>
        <w:rPr>
          <w:bCs/>
          <w:b/>
        </w:rPr>
        <w:t xml:space="preserve">who</w:t>
      </w:r>
      <w:r>
        <w:t xml:space="preserve"> </w:t>
      </w:r>
      <w:r>
        <w:t xml:space="preserve">is allowed to access</w:t>
      </w:r>
      <w:r>
        <w:t xml:space="preserve"> </w:t>
      </w:r>
      <w:r>
        <w:t xml:space="preserve">resources. It integrates Microsoft Entra ID as the primary identity provider, an ICAM platform</w:t>
      </w:r>
      <w:r>
        <w:t xml:space="preserve"> </w:t>
      </w:r>
      <w:r>
        <w:t xml:space="preserve">for lifecycle governance, and CyberArk PAM for privileged access session management.</w:t>
      </w:r>
    </w:p>
    <w:p>
      <w:pPr>
        <w:pStyle w:val="BodyText"/>
      </w:pPr>
      <w:r>
        <w:t xml:space="preserve">Key capabilities:</w:t>
      </w:r>
      <w:r>
        <w:t xml:space="preserve"> </w:t>
      </w:r>
      <w:r>
        <w:t xml:space="preserve">- Multi-factor authentication (MFA) and PIV/CAC enforcement</w:t>
      </w:r>
      <w:r>
        <w:t xml:space="preserve"> </w:t>
      </w:r>
      <w:r>
        <w:t xml:space="preserve">- Conditional access policies evaluated at every authentication event</w:t>
      </w:r>
      <w:r>
        <w:t xml:space="preserve"> </w:t>
      </w:r>
      <w:r>
        <w:t xml:space="preserve">- Just-in-time privileged access with full session recording</w:t>
      </w:r>
      <w:r>
        <w:t xml:space="preserve"> </w:t>
      </w:r>
      <w:r>
        <w:t xml:space="preserve">- Automated account lifecycle: provisioning, review, and de-provisioning</w:t>
      </w:r>
    </w:p>
    <w:bookmarkEnd w:id="22"/>
    <w:bookmarkStart w:id="23" w:name="addressing-plane"/>
    <w:p>
      <w:pPr>
        <w:pStyle w:val="Heading3"/>
      </w:pPr>
      <w:r>
        <w:t xml:space="preserve">3.2 Addressing Plane</w:t>
      </w:r>
    </w:p>
    <w:p>
      <w:pPr>
        <w:pStyle w:val="FirstParagraph"/>
      </w:pPr>
      <w:r>
        <w:t xml:space="preserve">The Addressing Plane governs</w:t>
      </w:r>
      <w:r>
        <w:t xml:space="preserve"> </w:t>
      </w:r>
      <w:r>
        <w:rPr>
          <w:bCs/>
          <w:b/>
        </w:rPr>
        <w:t xml:space="preserve">where</w:t>
      </w:r>
      <w:r>
        <w:t xml:space="preserve"> </w:t>
      </w:r>
      <w:r>
        <w:t xml:space="preserve">resources exist on the network through authoritative IP</w:t>
      </w:r>
      <w:r>
        <w:t xml:space="preserve"> </w:t>
      </w:r>
      <w:r>
        <w:t xml:space="preserve">address management, DNS, and DHCP. InfoBlox DDI serves as the single source of truth for all</w:t>
      </w:r>
      <w:r>
        <w:t xml:space="preserve"> </w:t>
      </w:r>
      <w:r>
        <w:t xml:space="preserve">address space across on-premises, cloud, and hybrid environments.</w:t>
      </w:r>
    </w:p>
    <w:p>
      <w:pPr>
        <w:pStyle w:val="BodyText"/>
      </w:pPr>
      <w:r>
        <w:t xml:space="preserve">Key capabilities:</w:t>
      </w:r>
      <w:r>
        <w:t xml:space="preserve"> </w:t>
      </w:r>
      <w:r>
        <w:t xml:space="preserve">- Automated IP address lifecycle management (IPAM)</w:t>
      </w:r>
      <w:r>
        <w:t xml:space="preserve"> </w:t>
      </w:r>
      <w:r>
        <w:t xml:space="preserve">- DNSSEC enforcement for all agency-managed domains</w:t>
      </w:r>
      <w:r>
        <w:t xml:space="preserve"> </w:t>
      </w:r>
      <w:r>
        <w:t xml:space="preserve">- DNS threat defense and query logging for SIEM correlation</w:t>
      </w:r>
      <w:r>
        <w:t xml:space="preserve"> </w:t>
      </w:r>
      <w:r>
        <w:t xml:space="preserve">- DHCP governance with lease tracking and rogue device detection</w:t>
      </w:r>
    </w:p>
    <w:bookmarkEnd w:id="23"/>
    <w:bookmarkStart w:id="24" w:name="overlay-plane"/>
    <w:p>
      <w:pPr>
        <w:pStyle w:val="Heading3"/>
      </w:pPr>
      <w:r>
        <w:t xml:space="preserve">3.3 Overlay Plane</w:t>
      </w:r>
    </w:p>
    <w:p>
      <w:pPr>
        <w:pStyle w:val="FirstParagraph"/>
      </w:pPr>
      <w:r>
        <w:t xml:space="preserve">The Overlay Plane governs</w:t>
      </w:r>
      <w:r>
        <w:t xml:space="preserve"> </w:t>
      </w:r>
      <w:r>
        <w:rPr>
          <w:bCs/>
          <w:b/>
        </w:rPr>
        <w:t xml:space="preserve">how</w:t>
      </w:r>
      <w:r>
        <w:t xml:space="preserve"> </w:t>
      </w:r>
      <w:r>
        <w:t xml:space="preserve">traffic moves between resources, applying encryption and</w:t>
      </w:r>
      <w:r>
        <w:t xml:space="preserve"> </w:t>
      </w:r>
      <w:r>
        <w:t xml:space="preserve">micro-segmentation regardless of physical location. Cisco Catalyst SD-WAN provides the encrypted</w:t>
      </w:r>
      <w:r>
        <w:t xml:space="preserve"> </w:t>
      </w:r>
      <w:r>
        <w:t xml:space="preserve">fabric, while ZTNA policies enforce least-privilege network access.</w:t>
      </w:r>
    </w:p>
    <w:p>
      <w:pPr>
        <w:pStyle w:val="BodyText"/>
      </w:pPr>
      <w:r>
        <w:t xml:space="preserve">Key capabilities:</w:t>
      </w:r>
      <w:r>
        <w:t xml:space="preserve"> </w:t>
      </w:r>
      <w:r>
        <w:t xml:space="preserve">- Zero Trust Network Access (ZTNA) with device posture validation</w:t>
      </w:r>
      <w:r>
        <w:t xml:space="preserve"> </w:t>
      </w:r>
      <w:r>
        <w:t xml:space="preserve">- mTLS-encrypted WAN tunnels between all sites and cloud workloads</w:t>
      </w:r>
      <w:r>
        <w:t xml:space="preserve"> </w:t>
      </w:r>
      <w:r>
        <w:t xml:space="preserve">- Micro-segmentation enforced at the workload level</w:t>
      </w:r>
      <w:r>
        <w:t xml:space="preserve"> </w:t>
      </w:r>
      <w:r>
        <w:t xml:space="preserve">- Application-aware routing and quality-of-service (QoS) policies</w:t>
      </w:r>
    </w:p>
    <w:bookmarkEnd w:id="24"/>
    <w:bookmarkStart w:id="25" w:name="telemetry-plane"/>
    <w:p>
      <w:pPr>
        <w:pStyle w:val="Heading3"/>
      </w:pPr>
      <w:r>
        <w:t xml:space="preserve">3.4 Telemetry Plane</w:t>
      </w:r>
    </w:p>
    <w:p>
      <w:pPr>
        <w:pStyle w:val="FirstParagraph"/>
      </w:pPr>
      <w:r>
        <w:t xml:space="preserve">The Telemetry Plane provides closed-loop visibility across all other planes, aggregating security</w:t>
      </w:r>
      <w:r>
        <w:t xml:space="preserve"> </w:t>
      </w:r>
      <w:r>
        <w:t xml:space="preserve">events, compliance signals, and performance metrics into a unified SIEM. Continuous evidence</w:t>
      </w:r>
      <w:r>
        <w:t xml:space="preserve"> </w:t>
      </w:r>
      <w:r>
        <w:t xml:space="preserve">export to OSCAL feeds the FedRAMP 20x continuous authorization dashboard.</w:t>
      </w:r>
    </w:p>
    <w:p>
      <w:pPr>
        <w:pStyle w:val="BodyText"/>
      </w:pPr>
      <w:r>
        <w:t xml:space="preserve">Key capabilities:</w:t>
      </w:r>
      <w:r>
        <w:t xml:space="preserve"> </w:t>
      </w:r>
      <w:r>
        <w:t xml:space="preserve">- Real-time security event correlation via Microsoft Sentinel</w:t>
      </w:r>
      <w:r>
        <w:t xml:space="preserve"> </w:t>
      </w:r>
      <w:r>
        <w:t xml:space="preserve">- CDM/CLAW asset visibility and vulnerability feed</w:t>
      </w:r>
      <w:r>
        <w:t xml:space="preserve"> </w:t>
      </w:r>
      <w:r>
        <w:t xml:space="preserve">- Key Security Indicator (KSI) dashboard for authorizing officials</w:t>
      </w:r>
      <w:r>
        <w:t xml:space="preserve"> </w:t>
      </w:r>
      <w:r>
        <w:t xml:space="preserve">- Automated OSCAL evidence bundling for FedRAMP continuous authorization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multi-plane-integration-data-flow"/>
    <w:p>
      <w:pPr>
        <w:pStyle w:val="Heading2"/>
      </w:pPr>
      <w:r>
        <w:t xml:space="preserve">4. Multi-Plane Integration Data Flow</w:t>
      </w:r>
    </w:p>
    <w:p>
      <w:pPr>
        <w:pStyle w:val="FirstParagraph"/>
      </w:pPr>
      <w:r>
        <w:t xml:space="preserve">The diagram below illustrates how data and policy signals flow between the four control planes,</w:t>
      </w:r>
      <w:r>
        <w:t xml:space="preserve"> </w:t>
      </w:r>
      <w:r>
        <w:t xml:space="preserve">creating a continuous feedback loop that enforces Zero Trust policy at every layer.</w:t>
      </w:r>
    </w:p>
    <w:p>
      <w:pPr>
        <w:pStyle w:val="SourceCode"/>
      </w:pPr>
      <w:r>
        <w:rPr>
          <w:rStyle w:val="VerbatimChar"/>
        </w:rPr>
        <w:t xml:space="preserve">UIAO Multi-Plane Integration data flow diagram for a US federal agency Zero Trust architecture.</w:t>
      </w:r>
      <w:r>
        <w:br/>
      </w:r>
      <w:r>
        <w:rPr>
          <w:rStyle w:val="VerbatimChar"/>
        </w:rPr>
        <w:t xml:space="preserve">Show a circular flow connecting four nodes arranged in a square:</w:t>
      </w:r>
      <w:r>
        <w:br/>
      </w:r>
      <w:r>
        <w:rPr>
          <w:rStyle w:val="VerbatimChar"/>
        </w:rPr>
        <w:t xml:space="preserve">- Top-left: Identity Plane (blue, lock icon) — emits "AuthN Assertions" and "Access Tokens"</w:t>
      </w:r>
      <w:r>
        <w:br/>
      </w:r>
      <w:r>
        <w:rPr>
          <w:rStyle w:val="VerbatimChar"/>
        </w:rPr>
        <w:t xml:space="preserve">- Top-right: Addressing Plane (green, network icon) — emits "IPAM Feed" and "DNS Lookups"</w:t>
      </w:r>
      <w:r>
        <w:br/>
      </w:r>
      <w:r>
        <w:rPr>
          <w:rStyle w:val="VerbatimChar"/>
        </w:rPr>
        <w:t xml:space="preserve">- Bottom-right: Overlay Plane (orange, shield icon) — emits "Traffic Policy" and "Session Data"</w:t>
      </w:r>
      <w:r>
        <w:br/>
      </w:r>
      <w:r>
        <w:rPr>
          <w:rStyle w:val="VerbatimChar"/>
        </w:rPr>
        <w:t xml:space="preserve">- Bottom-left: Telemetry Plane (purple, chart icon) — emits "KSI Scores" and "Alerts"</w:t>
      </w:r>
      <w:r>
        <w:br/>
      </w:r>
      <w:r>
        <w:rPr>
          <w:rStyle w:val="VerbatimChar"/>
        </w:rPr>
        <w:t xml:space="preserve">In the center: Policy Engine (dark blue hexagon) — receives signals from all planes and distributes enforcement decisions back.</w:t>
      </w:r>
      <w:r>
        <w:br/>
      </w:r>
      <w:r>
        <w:rPr>
          <w:rStyle w:val="VerbatimChar"/>
        </w:rPr>
        <w:t xml:space="preserve">Label all arrows with the data type they carry.</w:t>
      </w:r>
      <w:r>
        <w:br/>
      </w:r>
      <w:r>
        <w:rPr>
          <w:rStyle w:val="VerbatimChar"/>
        </w:rPr>
        <w:t xml:space="preserve">Professional, high-resolution diagram. White background. FedRAMP-quality aesthetic.</w:t>
      </w:r>
    </w:p>
    <w:p>
      <w:r>
        <w:pict>
          <v:rect style="width:0;height:1.5pt" o:hralign="center" o:hrstd="t" o:hr="t"/>
        </w:pict>
      </w:r>
    </w:p>
    <w:bookmarkEnd w:id="27"/>
    <w:bookmarkStart w:id="28" w:name="technology-stack"/>
    <w:p>
      <w:pPr>
        <w:pStyle w:val="Heading2"/>
      </w:pPr>
      <w:r>
        <w:t xml:space="preserve">5. Technology Stack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Plane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Technology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Secondary Technology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FedRAMP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Microsoft Entra ID (Azure AD)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CyberArk PAM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Authorized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Addressing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InfoBlox BloxOne DDI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DNS Security (BloxOne TD)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 Authorized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Overlay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Cisco Catalyst SD-WAN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Cisco ISE (NAC)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 Authorized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Telemetry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Microsoft Sentinel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CDM/CLAW (DHS SaaS)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Authorized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zero-trust-alignment"/>
    <w:p>
      <w:pPr>
        <w:pStyle w:val="Heading2"/>
      </w:pPr>
      <w:r>
        <w:t xml:space="preserve">6. Zero Trust Alignment</w:t>
      </w:r>
    </w:p>
    <w:p>
      <w:pPr>
        <w:pStyle w:val="FirstParagraph"/>
      </w:pPr>
      <w:r>
        <w:t xml:space="preserve">The UIAO architecture implements Zero Trust Architecture (ZTA) as defined in NIST SP 800-207</w:t>
      </w:r>
      <w:r>
        <w:t xml:space="preserve"> </w:t>
      </w:r>
      <w:r>
        <w:t xml:space="preserve">and the Federal ZTA Strategy (M-22-09):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ZTA Pillar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UIAO Control Plane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Identity Plane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Entra ID + MFA + PIV/CAC + CyberArk PAM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Identity Plane + Telemetry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Intune MDM compliance + CDM asset inventory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Network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Overlay Plane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SD-WAN ZTNA + micro-segmentation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Application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Overlay Plane + Identity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App-aware routing + conditional access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Planes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Encryption at rest and in transit, DLP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Visibility &amp; Analytics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Telemetry Plane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Sentinel SIEM + KSI Dashboard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Source: UIAO-Core Architecture — System Architecture v1.0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UIAO System Architecture</dc:title>
  <dc:creator/>
  <cp:keywords/>
  <dcterms:created xsi:type="dcterms:W3CDTF">2026-04-02T13:23:46Z</dcterms:created>
  <dcterms:modified xsi:type="dcterms:W3CDTF">2026-04-02T13:23:46Z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">
    <vt:lpwstr>CUI</vt:lpwstr>
  </property>
  <property fmtid="{D5CDD505-2E9C-101B-9397-08002B2CF9AE}" pid="3" name="diagram-owner">
    <vt:lpwstr>gemini</vt:lpwstr>
  </property>
  <property fmtid="{D5CDD505-2E9C-101B-9397-08002B2CF9AE}" pid="4" name="version">
    <vt:lpwstr>1.0</vt:lpwstr>
  </property>
</Properties>
</file>