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01 Unifiedarchitecture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X89d27089b9e35464a3fe4ccca1d49cbbcbaeb69"/>
    <w:p>
      <w:pPr>
        <w:pStyle w:val="Heading1"/>
      </w:pPr>
      <w:r>
        <w:t xml:space="preserve">1. Unified Identity-Addressing-Overlay Architecture (UIAO)</w:t>
      </w:r>
    </w:p>
    <w:bookmarkStart w:id="20" w:name="unified-architecture-specification"/>
    <w:p>
      <w:pPr>
        <w:pStyle w:val="Heading2"/>
      </w:pPr>
      <w:r>
        <w:t xml:space="preserve">1.1 Unified Architecture Specification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Architectural Specification (00_Core)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defines the unified architecture of the Unified Identity-Addressing-Overlay (UIAO) system. It integrates all six control planes into a single, coherent, identity-driven, telemetry-informed modernization framework. It serves as the architectural foundation for project plans, compliance mappings, modernization timelines, and executive briefings.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Unified architectural model across all six control planes</w:t>
      </w:r>
    </w:p>
    <w:p>
      <w:pPr>
        <w:pStyle w:val="Compact"/>
        <w:numPr>
          <w:ilvl w:val="0"/>
          <w:numId w:val="1001"/>
        </w:numPr>
      </w:pPr>
      <w:r>
        <w:t xml:space="preserve">Cross-plane interactions and dependencies</w:t>
      </w:r>
    </w:p>
    <w:p>
      <w:pPr>
        <w:pStyle w:val="Compact"/>
        <w:numPr>
          <w:ilvl w:val="0"/>
          <w:numId w:val="1001"/>
        </w:numPr>
      </w:pPr>
      <w:r>
        <w:t xml:space="preserve">Core concepts and runtime behavior</w:t>
      </w:r>
    </w:p>
    <w:p>
      <w:pPr>
        <w:pStyle w:val="Compact"/>
        <w:numPr>
          <w:ilvl w:val="0"/>
          <w:numId w:val="1001"/>
        </w:numPr>
      </w:pPr>
      <w:r>
        <w:t xml:space="preserve">Architectural principles and modernization rationale</w:t>
      </w:r>
    </w:p>
    <w:p>
      <w:pPr>
        <w:pStyle w:val="Compact"/>
        <w:numPr>
          <w:ilvl w:val="0"/>
          <w:numId w:val="1001"/>
        </w:numPr>
      </w:pPr>
      <w:r>
        <w:t xml:space="preserve">Frozen state analysis and required state transitions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Detailed plane-specific specifications (see</w:t>
      </w:r>
      <w:r>
        <w:t xml:space="preserve"> </w:t>
      </w:r>
      <w:r>
        <w:rPr>
          <w:rStyle w:val="VerbatimChar"/>
        </w:rPr>
        <w:t xml:space="preserve">00_ControlPlaneArchitecture.md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Implementation guides</w:t>
      </w:r>
    </w:p>
    <w:p>
      <w:pPr>
        <w:pStyle w:val="Compact"/>
        <w:numPr>
          <w:ilvl w:val="0"/>
          <w:numId w:val="1002"/>
        </w:numPr>
      </w:pPr>
      <w:r>
        <w:t xml:space="preserve">Vendor-specific deployment instructions</w:t>
      </w:r>
    </w:p>
    <w:p>
      <w:pPr>
        <w:pStyle w:val="Compact"/>
        <w:numPr>
          <w:ilvl w:val="0"/>
          <w:numId w:val="1002"/>
        </w:numPr>
      </w:pPr>
      <w:r>
        <w:t xml:space="preserve">Project plan details (covered in modernization appendices)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document describes the unified behavior of all six UIAO control planes: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Role in Unified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Root namespace and assurance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and overlay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 and DNS/DHCP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Real-time signals for routing, security, and compliance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 and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Governance, drift detection, CMDB, device compliance</w:t>
            </w:r>
          </w:p>
        </w:tc>
      </w:tr>
    </w:tbl>
    <w:p>
      <w:pPr>
        <w:pStyle w:val="BodyText"/>
      </w:pPr>
      <w:r>
        <w:t xml:space="preserve">The unified architecture is the composition of these planes operating deterministically.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unified architecture is governed by the Seven Core Concepts, which must appear identically across all UIAO documents: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</w:t>
      </w:r>
    </w:p>
    <w:p>
      <w:pPr>
        <w:pStyle w:val="Compact"/>
        <w:numPr>
          <w:ilvl w:val="0"/>
          <w:numId w:val="1003"/>
        </w:numPr>
      </w:pPr>
      <w:r>
        <w:t xml:space="preserve">Deterministic addressing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</w:t>
      </w:r>
    </w:p>
    <w:p>
      <w:pPr>
        <w:pStyle w:val="Compact"/>
        <w:numPr>
          <w:ilvl w:val="0"/>
          <w:numId w:val="1003"/>
        </w:numPr>
      </w:pPr>
      <w:r>
        <w:t xml:space="preserve">Telemetry as control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</w:t>
      </w:r>
    </w:p>
    <w:p>
      <w:pPr>
        <w:pStyle w:val="Compact"/>
        <w:numPr>
          <w:ilvl w:val="0"/>
          <w:numId w:val="1003"/>
        </w:numPr>
      </w:pPr>
      <w:r>
        <w:t xml:space="preserve">Public service first</w:t>
      </w:r>
    </w:p>
    <w:p>
      <w:pPr>
        <w:pStyle w:val="FirstParagraph"/>
      </w:pPr>
      <w:r>
        <w:t xml:space="preserve">These concepts define the architectural philosophy and runtime behavior of UIAO.</w:t>
      </w:r>
    </w:p>
    <w:p>
      <w:r>
        <w:pict>
          <v:rect style="width:0;height:1.5pt" o:hralign="center" o:hrstd="t" o:hr="t"/>
        </w:pict>
      </w:r>
    </w:p>
    <w:bookmarkEnd w:id="26"/>
    <w:bookmarkStart w:id="37" w:name="architecture-model"/>
    <w:p>
      <w:pPr>
        <w:pStyle w:val="Heading2"/>
      </w:pPr>
      <w:r>
        <w:t xml:space="preserve">1.6 6. Architecture Model</w:t>
      </w:r>
    </w:p>
    <w:bookmarkStart w:id="27" w:name="overview"/>
    <w:p>
      <w:pPr>
        <w:pStyle w:val="Heading3"/>
      </w:pPr>
      <w:r>
        <w:t xml:space="preserve">1.6.1 6.1 Overview</w:t>
      </w:r>
    </w:p>
    <w:p>
      <w:pPr>
        <w:pStyle w:val="FirstParagraph"/>
      </w:pPr>
      <w:r>
        <w:t xml:space="preserve">The UIAO architecture replaces legacy perimeter-centric, device-centric, and location-centric models with a federated, identity-driven, telemetry-informed control plane system. Each plane is authoritative for its domain, but all planes operate as a single, deterministic system.</w:t>
      </w:r>
    </w:p>
    <w:p>
      <w:pPr>
        <w:pStyle w:val="BodyText"/>
      </w:pPr>
      <w:r>
        <w:t xml:space="preserve">The architecture is designed to:</w:t>
      </w:r>
    </w:p>
    <w:p>
      <w:pPr>
        <w:pStyle w:val="Compact"/>
        <w:numPr>
          <w:ilvl w:val="0"/>
          <w:numId w:val="1004"/>
        </w:numPr>
      </w:pPr>
      <w:r>
        <w:t xml:space="preserve">Eliminate TIC 2.0 bottlenecks</w:t>
      </w:r>
    </w:p>
    <w:p>
      <w:pPr>
        <w:pStyle w:val="Compact"/>
        <w:numPr>
          <w:ilvl w:val="0"/>
          <w:numId w:val="1004"/>
        </w:numPr>
      </w:pPr>
      <w:r>
        <w:t xml:space="preserve">Replace static addressing with identity-derived addressing</w:t>
      </w:r>
    </w:p>
    <w:p>
      <w:pPr>
        <w:pStyle w:val="Compact"/>
        <w:numPr>
          <w:ilvl w:val="0"/>
          <w:numId w:val="1004"/>
        </w:numPr>
      </w:pPr>
      <w:r>
        <w:t xml:space="preserve">Replace siloed logs with conversation-level telemetry</w:t>
      </w:r>
    </w:p>
    <w:p>
      <w:pPr>
        <w:pStyle w:val="Compact"/>
        <w:numPr>
          <w:ilvl w:val="0"/>
          <w:numId w:val="1004"/>
        </w:numPr>
      </w:pPr>
      <w:r>
        <w:t xml:space="preserve">Replace manual governance with automated enforcement</w:t>
      </w:r>
    </w:p>
    <w:p>
      <w:pPr>
        <w:pStyle w:val="Compact"/>
        <w:numPr>
          <w:ilvl w:val="0"/>
          <w:numId w:val="1004"/>
        </w:numPr>
      </w:pPr>
      <w:r>
        <w:t xml:space="preserve">Replace perimeter trust with continuous Zero Trust evaluation</w:t>
      </w:r>
    </w:p>
    <w:bookmarkEnd w:id="27"/>
    <w:bookmarkStart w:id="28" w:name="architectural-principles"/>
    <w:p>
      <w:pPr>
        <w:pStyle w:val="Heading3"/>
      </w:pPr>
      <w:r>
        <w:t xml:space="preserve">1.6.2 6.2 Architectural Principles</w:t>
      </w:r>
    </w:p>
    <w:p>
      <w:pPr>
        <w:pStyle w:val="FirstParagraph"/>
      </w:pPr>
      <w:r>
        <w:t xml:space="preserve">The unified architecture is governed by the following principles:</w:t>
      </w:r>
    </w:p>
    <w:p>
      <w:pPr>
        <w:pStyle w:val="Compact"/>
        <w:numPr>
          <w:ilvl w:val="0"/>
          <w:numId w:val="1005"/>
        </w:numPr>
      </w:pPr>
      <w:r>
        <w:t xml:space="preserve">Zero Trust by default</w:t>
      </w:r>
    </w:p>
    <w:p>
      <w:pPr>
        <w:pStyle w:val="Compact"/>
        <w:numPr>
          <w:ilvl w:val="0"/>
          <w:numId w:val="1005"/>
        </w:numPr>
      </w:pPr>
      <w:r>
        <w:t xml:space="preserve">Identity as the new perimeter</w:t>
      </w:r>
    </w:p>
    <w:p>
      <w:pPr>
        <w:pStyle w:val="Compact"/>
        <w:numPr>
          <w:ilvl w:val="0"/>
          <w:numId w:val="1005"/>
        </w:numPr>
      </w:pPr>
      <w:r>
        <w:t xml:space="preserve">Telemetry as the truth source</w:t>
      </w:r>
    </w:p>
    <w:p>
      <w:pPr>
        <w:pStyle w:val="Compact"/>
        <w:numPr>
          <w:ilvl w:val="0"/>
          <w:numId w:val="1005"/>
        </w:numPr>
      </w:pPr>
      <w:r>
        <w:t xml:space="preserve">Cloud-first routing</w:t>
      </w:r>
    </w:p>
    <w:p>
      <w:pPr>
        <w:pStyle w:val="Compact"/>
        <w:numPr>
          <w:ilvl w:val="0"/>
          <w:numId w:val="1005"/>
        </w:numPr>
      </w:pPr>
      <w:r>
        <w:t xml:space="preserve">Incremental modernization (no big-bang)</w:t>
      </w:r>
    </w:p>
    <w:p>
      <w:pPr>
        <w:pStyle w:val="Compact"/>
        <w:numPr>
          <w:ilvl w:val="0"/>
          <w:numId w:val="1005"/>
        </w:numPr>
      </w:pPr>
      <w:r>
        <w:t xml:space="preserve">FedRAMP-aligned controls</w:t>
      </w:r>
    </w:p>
    <w:p>
      <w:pPr>
        <w:pStyle w:val="Compact"/>
        <w:numPr>
          <w:ilvl w:val="0"/>
          <w:numId w:val="1005"/>
        </w:numPr>
      </w:pPr>
      <w:r>
        <w:t xml:space="preserve">Modular, extensible architecture</w:t>
      </w:r>
    </w:p>
    <w:p>
      <w:pPr>
        <w:pStyle w:val="FirstParagraph"/>
      </w:pPr>
      <w:r>
        <w:t xml:space="preserve">These principles are mandatory across all UIAO implementations.</w:t>
      </w:r>
    </w:p>
    <w:bookmarkEnd w:id="28"/>
    <w:bookmarkStart w:id="35" w:name="plane-interactions"/>
    <w:p>
      <w:pPr>
        <w:pStyle w:val="Heading3"/>
      </w:pPr>
      <w:r>
        <w:t xml:space="preserve">1.6.3 6.3 Plane Interactions</w:t>
      </w:r>
    </w:p>
    <w:bookmarkStart w:id="29" w:name="identity---network"/>
    <w:p>
      <w:pPr>
        <w:pStyle w:val="Heading4"/>
      </w:pPr>
      <w:r>
        <w:t xml:space="preserve">1.6.3.1 Identity &lt;-&gt; Network</w:t>
      </w:r>
    </w:p>
    <w:p>
      <w:pPr>
        <w:pStyle w:val="FirstParagraph"/>
      </w:pPr>
      <w:r>
        <w:t xml:space="preserve">Identity provides segmentation attributes; network enforces identity-aware routing.</w:t>
      </w:r>
    </w:p>
    <w:bookmarkEnd w:id="29"/>
    <w:bookmarkStart w:id="30" w:name="network---addressing"/>
    <w:p>
      <w:pPr>
        <w:pStyle w:val="Heading4"/>
      </w:pPr>
      <w:r>
        <w:t xml:space="preserve">1.6.3.2 Network &lt;-&gt; Addressing</w:t>
      </w:r>
    </w:p>
    <w:p>
      <w:pPr>
        <w:pStyle w:val="FirstParagraph"/>
      </w:pPr>
      <w:r>
        <w:t xml:space="preserve">Addressing provides deterministic IPs; network uses them for segmentation and telemetry correlation.</w:t>
      </w:r>
    </w:p>
    <w:bookmarkEnd w:id="30"/>
    <w:bookmarkStart w:id="31" w:name="addressing---telemetry"/>
    <w:p>
      <w:pPr>
        <w:pStyle w:val="Heading4"/>
      </w:pPr>
      <w:r>
        <w:t xml:space="preserve">1.6.3.3 Addressing &lt;-&gt; Telemetry</w:t>
      </w:r>
    </w:p>
    <w:p>
      <w:pPr>
        <w:pStyle w:val="FirstParagraph"/>
      </w:pPr>
      <w:r>
        <w:t xml:space="preserve">IPAM provides identity-derived IPs; telemetry uses them for location inference and conversation correlation.</w:t>
      </w:r>
    </w:p>
    <w:bookmarkEnd w:id="31"/>
    <w:bookmarkStart w:id="32" w:name="telemetry---security"/>
    <w:p>
      <w:pPr>
        <w:pStyle w:val="Heading4"/>
      </w:pPr>
      <w:r>
        <w:t xml:space="preserve">1.6.3.4 Telemetry &lt;-&gt; Security</w:t>
      </w:r>
    </w:p>
    <w:p>
      <w:pPr>
        <w:pStyle w:val="FirstParagraph"/>
      </w:pPr>
      <w:r>
        <w:t xml:space="preserve">Telemetry provides real-time assurance; security enforces Zero Trust decisions.</w:t>
      </w:r>
    </w:p>
    <w:bookmarkEnd w:id="32"/>
    <w:bookmarkStart w:id="33" w:name="security---management"/>
    <w:p>
      <w:pPr>
        <w:pStyle w:val="Heading4"/>
      </w:pPr>
      <w:r>
        <w:t xml:space="preserve">1.6.3.5 Security &lt;-&gt; Management</w:t>
      </w:r>
    </w:p>
    <w:p>
      <w:pPr>
        <w:pStyle w:val="FirstParagraph"/>
      </w:pPr>
      <w:r>
        <w:t xml:space="preserve">Security defines policy; management enforces drift detection and remediation.</w:t>
      </w:r>
    </w:p>
    <w:bookmarkEnd w:id="33"/>
    <w:bookmarkStart w:id="34" w:name="management---identity"/>
    <w:p>
      <w:pPr>
        <w:pStyle w:val="Heading4"/>
      </w:pPr>
      <w:r>
        <w:t xml:space="preserve">1.6.3.6 Management &lt;-&gt; Identity</w:t>
      </w:r>
    </w:p>
    <w:p>
      <w:pPr>
        <w:pStyle w:val="FirstParagraph"/>
      </w:pPr>
      <w:r>
        <w:t xml:space="preserve">Device compliance and lifecycle events feed identity assurance.</w:t>
      </w:r>
    </w:p>
    <w:p>
      <w:pPr>
        <w:pStyle w:val="BodyText"/>
      </w:pPr>
      <w:r>
        <w:t xml:space="preserve">This creates a closed-loop, self-governing architecture.</w:t>
      </w:r>
    </w:p>
    <w:bookmarkEnd w:id="34"/>
    <w:bookmarkEnd w:id="35"/>
    <w:bookmarkStart w:id="36" w:name="frozen-state-analysis"/>
    <w:p>
      <w:pPr>
        <w:pStyle w:val="Heading3"/>
      </w:pPr>
      <w:r>
        <w:t xml:space="preserve">1.6.4 6.4 Frozen State Analysis</w:t>
      </w:r>
    </w:p>
    <w:p>
      <w:pPr>
        <w:pStyle w:val="FirstParagraph"/>
      </w:pPr>
      <w:r>
        <w:t xml:space="preserve">The unified architecture addresses the following legacy constraints: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Frozen State</w:t>
            </w:r>
          </w:p>
        </w:tc>
        <w:tc>
          <w:tcPr/>
          <w:p>
            <w:pPr>
              <w:pStyle w:val="Compact"/>
            </w:pPr>
            <w:r>
              <w:t xml:space="preserve">Required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On-prem AD, siloed</w:t>
            </w:r>
          </w:p>
        </w:tc>
        <w:tc>
          <w:tcPr/>
          <w:p>
            <w:pPr>
              <w:pStyle w:val="Compact"/>
            </w:pPr>
            <w:r>
              <w:t xml:space="preserve">Unified identity 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Static spreadsheets</w:t>
            </w:r>
          </w:p>
        </w:tc>
        <w:tc>
          <w:tcPr/>
          <w:p>
            <w:pPr>
              <w:pStyle w:val="Compact"/>
            </w:pPr>
            <w:r>
              <w:t xml:space="preserve">Deterministic identity-derived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 Security</w:t>
            </w:r>
          </w:p>
        </w:tc>
        <w:tc>
          <w:tcPr/>
          <w:p>
            <w:pPr>
              <w:pStyle w:val="Compact"/>
            </w:pPr>
            <w:r>
              <w:t xml:space="preserve">L3/L4 firewalls</w:t>
            </w:r>
          </w:p>
        </w:tc>
        <w:tc>
          <w:tcPr/>
          <w:p>
            <w:pPr>
              <w:pStyle w:val="Compact"/>
            </w:pPr>
            <w:r>
              <w:t xml:space="preserve">Identity-aware segmentation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Mixed tooling</w:t>
            </w:r>
          </w:p>
        </w:tc>
        <w:tc>
          <w:tcPr/>
          <w:p>
            <w:pPr>
              <w:pStyle w:val="Compact"/>
            </w:pPr>
            <w:r>
              <w:t xml:space="preserve">Unified posture signal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Delivery</w:t>
            </w:r>
          </w:p>
        </w:tc>
        <w:tc>
          <w:tcPr/>
          <w:p>
            <w:pPr>
              <w:pStyle w:val="Compact"/>
            </w:pPr>
            <w:r>
              <w:t xml:space="preserve">Monolithic, local auth</w:t>
            </w:r>
          </w:p>
        </w:tc>
        <w:tc>
          <w:tcPr/>
          <w:p>
            <w:pPr>
              <w:pStyle w:val="Compact"/>
            </w:pPr>
            <w:r>
              <w:t xml:space="preserve">Workload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Siloed logs</w:t>
            </w:r>
          </w:p>
        </w:tc>
        <w:tc>
          <w:tcPr/>
          <w:p>
            <w:pPr>
              <w:pStyle w:val="Compact"/>
            </w:pPr>
            <w:r>
              <w:t xml:space="preserve">Conversation-level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Email/ticket-based</w:t>
            </w:r>
          </w:p>
        </w:tc>
        <w:tc>
          <w:tcPr/>
          <w:p>
            <w:pPr>
              <w:pStyle w:val="Compact"/>
            </w:pPr>
            <w:r>
              <w:t xml:space="preserve">Automated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Manual classification</w:t>
            </w:r>
          </w:p>
        </w:tc>
        <w:tc>
          <w:tcPr/>
          <w:p>
            <w:pPr>
              <w:pStyle w:val="Compact"/>
            </w:pPr>
            <w:r>
              <w:t xml:space="preserve">Data-aware routing</w:t>
            </w:r>
          </w:p>
        </w:tc>
      </w:tr>
    </w:tbl>
    <w:p>
      <w:pPr>
        <w:pStyle w:val="BodyText"/>
      </w:pPr>
      <w:r>
        <w:t xml:space="preserve">The unified architecture provides the required state.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runtime-model"/>
    <w:p>
      <w:pPr>
        <w:pStyle w:val="Heading2"/>
      </w:pPr>
      <w:r>
        <w:t xml:space="preserve">1.7 7. Runtime Model</w:t>
      </w:r>
    </w:p>
    <w:p>
      <w:pPr>
        <w:pStyle w:val="FirstParagraph"/>
      </w:pPr>
      <w:r>
        <w:t xml:space="preserve">UIAO operates on conversations as the atomic unit of runtime behavior.</w:t>
      </w:r>
    </w:p>
    <w:bookmarkStart w:id="38" w:name="conversation-flow"/>
    <w:p>
      <w:pPr>
        <w:pStyle w:val="Heading3"/>
      </w:pPr>
      <w:r>
        <w:t xml:space="preserve">1.7.1 7.1 Conversation Flow</w:t>
      </w:r>
    </w:p>
    <w:p>
      <w:pPr>
        <w:pStyle w:val="Compact"/>
        <w:numPr>
          <w:ilvl w:val="0"/>
          <w:numId w:val="1006"/>
        </w:numPr>
      </w:pPr>
      <w:r>
        <w:t xml:space="preserve">Identity initiates</w:t>
      </w:r>
    </w:p>
    <w:p>
      <w:pPr>
        <w:pStyle w:val="Compact"/>
        <w:numPr>
          <w:ilvl w:val="0"/>
          <w:numId w:val="1006"/>
        </w:numPr>
      </w:pPr>
      <w:r>
        <w:t xml:space="preserve">Addressing binds</w:t>
      </w:r>
    </w:p>
    <w:p>
      <w:pPr>
        <w:pStyle w:val="Compact"/>
        <w:numPr>
          <w:ilvl w:val="0"/>
          <w:numId w:val="1006"/>
        </w:numPr>
      </w:pPr>
      <w:r>
        <w:t xml:space="preserve">Certificates authenticate</w:t>
      </w:r>
    </w:p>
    <w:p>
      <w:pPr>
        <w:pStyle w:val="Compact"/>
        <w:numPr>
          <w:ilvl w:val="0"/>
          <w:numId w:val="1006"/>
        </w:numPr>
      </w:pPr>
      <w:r>
        <w:t xml:space="preserve">Overlay establishes path</w:t>
      </w:r>
    </w:p>
    <w:p>
      <w:pPr>
        <w:pStyle w:val="Compact"/>
        <w:numPr>
          <w:ilvl w:val="0"/>
          <w:numId w:val="1006"/>
        </w:numPr>
      </w:pPr>
      <w:r>
        <w:t xml:space="preserve">Telemetry validates</w:t>
      </w:r>
    </w:p>
    <w:p>
      <w:pPr>
        <w:pStyle w:val="Compact"/>
        <w:numPr>
          <w:ilvl w:val="0"/>
          <w:numId w:val="1006"/>
        </w:numPr>
      </w:pPr>
      <w:r>
        <w:t xml:space="preserve">Policy evaluates continuously</w:t>
      </w:r>
    </w:p>
    <w:bookmarkEnd w:id="38"/>
    <w:bookmarkStart w:id="39" w:name="deterministic-behavior"/>
    <w:p>
      <w:pPr>
        <w:pStyle w:val="Heading3"/>
      </w:pPr>
      <w:r>
        <w:t xml:space="preserve">1.7.2 7.2 Deterministic Behavior</w:t>
      </w:r>
    </w:p>
    <w:p>
      <w:pPr>
        <w:pStyle w:val="FirstParagraph"/>
      </w:pPr>
      <w:r>
        <w:t xml:space="preserve">Given identical identity, boundary, telemetry, and assurance inputs, the system must produce the same decision across:</w:t>
      </w:r>
    </w:p>
    <w:p>
      <w:pPr>
        <w:pStyle w:val="Compact"/>
        <w:numPr>
          <w:ilvl w:val="0"/>
          <w:numId w:val="1007"/>
        </w:numPr>
      </w:pPr>
      <w:r>
        <w:t xml:space="preserve">Clouds</w:t>
      </w:r>
    </w:p>
    <w:p>
      <w:pPr>
        <w:pStyle w:val="Compact"/>
        <w:numPr>
          <w:ilvl w:val="0"/>
          <w:numId w:val="1007"/>
        </w:numPr>
      </w:pPr>
      <w:r>
        <w:t xml:space="preserve">Agencies</w:t>
      </w:r>
    </w:p>
    <w:p>
      <w:pPr>
        <w:pStyle w:val="Compact"/>
        <w:numPr>
          <w:ilvl w:val="0"/>
          <w:numId w:val="1007"/>
        </w:numPr>
      </w:pPr>
      <w:r>
        <w:t xml:space="preserve">Implementations</w:t>
      </w:r>
    </w:p>
    <w:bookmarkEnd w:id="39"/>
    <w:bookmarkStart w:id="40" w:name="continuous-evaluation"/>
    <w:p>
      <w:pPr>
        <w:pStyle w:val="Heading3"/>
      </w:pPr>
      <w:r>
        <w:t xml:space="preserve">1.7.3 7.3 Continuous Evaluation</w:t>
      </w:r>
    </w:p>
    <w:p>
      <w:pPr>
        <w:pStyle w:val="FirstParagraph"/>
      </w:pPr>
      <w:r>
        <w:t xml:space="preserve">Telemetry modifies routing, access, and segmentation decisions in real time.</w:t>
      </w:r>
    </w:p>
    <w:bookmarkEnd w:id="40"/>
    <w:bookmarkStart w:id="41" w:name="assurance-signals"/>
    <w:p>
      <w:pPr>
        <w:pStyle w:val="Heading3"/>
      </w:pPr>
      <w:r>
        <w:t xml:space="preserve">1.7.4 7.4 Assurance Signals</w:t>
      </w:r>
    </w:p>
    <w:p>
      <w:pPr>
        <w:pStyle w:val="Compact"/>
        <w:numPr>
          <w:ilvl w:val="0"/>
          <w:numId w:val="1008"/>
        </w:numPr>
      </w:pPr>
      <w:r>
        <w:t xml:space="preserve">Identity assurance</w:t>
      </w:r>
    </w:p>
    <w:p>
      <w:pPr>
        <w:pStyle w:val="Compact"/>
        <w:numPr>
          <w:ilvl w:val="0"/>
          <w:numId w:val="1008"/>
        </w:numPr>
      </w:pPr>
      <w:r>
        <w:t xml:space="preserve">Device posture</w:t>
      </w:r>
    </w:p>
    <w:p>
      <w:pPr>
        <w:pStyle w:val="Compact"/>
        <w:numPr>
          <w:ilvl w:val="0"/>
          <w:numId w:val="1008"/>
        </w:numPr>
      </w:pPr>
      <w:r>
        <w:t xml:space="preserve">Path quality</w:t>
      </w:r>
    </w:p>
    <w:p>
      <w:pPr>
        <w:pStyle w:val="Compact"/>
        <w:numPr>
          <w:ilvl w:val="0"/>
          <w:numId w:val="1008"/>
        </w:numPr>
      </w:pPr>
      <w:r>
        <w:t xml:space="preserve">Location inference</w:t>
      </w:r>
    </w:p>
    <w:p>
      <w:pPr>
        <w:pStyle w:val="Compact"/>
        <w:numPr>
          <w:ilvl w:val="0"/>
          <w:numId w:val="1008"/>
        </w:numPr>
      </w:pPr>
      <w:r>
        <w:t xml:space="preserve">Certificate validity</w:t>
      </w:r>
    </w:p>
    <w:p>
      <w:pPr>
        <w:pStyle w:val="FirstParagraph"/>
      </w:pPr>
      <w:r>
        <w:t xml:space="preserve">These signals drive continuous policy evaluation.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compliance-mapping"/>
    <w:p>
      <w:pPr>
        <w:pStyle w:val="Heading2"/>
      </w:pPr>
      <w:r>
        <w:t xml:space="preserve">1.8 8. Compliance Mapping</w:t>
      </w:r>
    </w:p>
    <w:bookmarkStart w:id="43" w:name="fedramp-20x-alignment"/>
    <w:p>
      <w:pPr>
        <w:pStyle w:val="Heading3"/>
      </w:pPr>
      <w:r>
        <w:t xml:space="preserve">1.8.1 8.1 FedRAMP 20x Alignment</w:t>
      </w:r>
    </w:p>
    <w:p>
      <w:pPr>
        <w:pStyle w:val="FirstParagraph"/>
      </w:pPr>
      <w:r>
        <w:t xml:space="preserve">The unified architecture supports:</w:t>
      </w:r>
    </w:p>
    <w:p>
      <w:pPr>
        <w:pStyle w:val="Compact"/>
        <w:numPr>
          <w:ilvl w:val="0"/>
          <w:numId w:val="1009"/>
        </w:numPr>
      </w:pPr>
      <w:r>
        <w:t xml:space="preserve">Class C (Moderate)</w:t>
      </w:r>
    </w:p>
    <w:p>
      <w:pPr>
        <w:pStyle w:val="Compact"/>
        <w:numPr>
          <w:ilvl w:val="0"/>
          <w:numId w:val="1009"/>
        </w:numPr>
      </w:pPr>
      <w:r>
        <w:t xml:space="preserve">Telemetry-based validation</w:t>
      </w:r>
    </w:p>
    <w:p>
      <w:pPr>
        <w:pStyle w:val="Compact"/>
        <w:numPr>
          <w:ilvl w:val="0"/>
          <w:numId w:val="1009"/>
        </w:numPr>
      </w:pPr>
      <w:r>
        <w:t xml:space="preserve">OSCAL machine-readability</w:t>
      </w:r>
    </w:p>
    <w:p>
      <w:pPr>
        <w:pStyle w:val="Compact"/>
        <w:numPr>
          <w:ilvl w:val="0"/>
          <w:numId w:val="1009"/>
        </w:numPr>
      </w:pPr>
      <w:r>
        <w:t xml:space="preserve">Automated evidence generation</w:t>
      </w:r>
    </w:p>
    <w:bookmarkEnd w:id="43"/>
    <w:bookmarkStart w:id="44" w:name="nist-800-53-rev-5-controls"/>
    <w:p>
      <w:pPr>
        <w:pStyle w:val="Heading3"/>
      </w:pPr>
      <w:r>
        <w:t xml:space="preserve">1.8.2 8.2 NIST 800-53 Rev 5 Controls</w:t>
      </w:r>
    </w:p>
    <w:p>
      <w:pPr>
        <w:pStyle w:val="FirstParagraph"/>
      </w:pPr>
      <w:r>
        <w:t xml:space="preserve">Mapped via the canonical crosswalk: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 ID</w:t>
            </w:r>
          </w:p>
        </w:tc>
        <w:tc>
          <w:tcPr/>
          <w:p>
            <w:pPr>
              <w:pStyle w:val="Compact"/>
            </w:pPr>
            <w:r>
              <w:t xml:space="preserve">Control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Information Flow Enforcement (segmentation)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IA-2</w:t>
            </w:r>
          </w:p>
        </w:tc>
        <w:tc>
          <w:tcPr/>
          <w:p>
            <w:pPr>
              <w:pStyle w:val="Compact"/>
            </w:pPr>
            <w:r>
              <w:t xml:space="preserve">Identification and Authentication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IA-5</w:t>
            </w:r>
          </w:p>
        </w:tc>
        <w:tc>
          <w:tcPr/>
          <w:p>
            <w:pPr>
              <w:pStyle w:val="Compact"/>
            </w:pPr>
            <w:r>
              <w:t xml:space="preserve">Authenticator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CM-8</w:t>
            </w:r>
          </w:p>
        </w:tc>
        <w:tc>
          <w:tcPr/>
          <w:p>
            <w:pPr>
              <w:pStyle w:val="Compact"/>
            </w:pPr>
            <w:r>
              <w:t xml:space="preserve">Information System Component 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SC-8</w:t>
            </w:r>
          </w:p>
        </w:tc>
        <w:tc>
          <w:tcPr/>
          <w:p>
            <w:pPr>
              <w:pStyle w:val="Compact"/>
            </w:pPr>
            <w:r>
              <w:t xml:space="preserve">Transmission Confidentiality and Integrity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CA-7</w:t>
            </w:r>
          </w:p>
        </w:tc>
        <w:tc>
          <w:tcPr/>
          <w:p>
            <w:pPr>
              <w:pStyle w:val="Compact"/>
            </w:pPr>
            <w:r>
              <w:t xml:space="preserve">Continuous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SI-4</w:t>
            </w:r>
          </w:p>
        </w:tc>
        <w:tc>
          <w:tcPr/>
          <w:p>
            <w:pPr>
              <w:pStyle w:val="Compact"/>
            </w:pPr>
            <w:r>
              <w:t xml:space="preserve">Information System Monitoring (telemetry)</w:t>
            </w:r>
          </w:p>
        </w:tc>
      </w:tr>
    </w:tbl>
    <w:bookmarkEnd w:id="44"/>
    <w:bookmarkStart w:id="45" w:name="ksi-categories"/>
    <w:p>
      <w:pPr>
        <w:pStyle w:val="Heading3"/>
      </w:pPr>
      <w:r>
        <w:t xml:space="preserve">1.8.3 8.3 KSI Categories</w:t>
      </w:r>
    </w:p>
    <w:p>
      <w:pPr>
        <w:pStyle w:val="Compact"/>
        <w:numPr>
          <w:ilvl w:val="0"/>
          <w:numId w:val="1010"/>
        </w:numPr>
      </w:pPr>
      <w:r>
        <w:t xml:space="preserve">KSI-IAM</w:t>
      </w:r>
    </w:p>
    <w:p>
      <w:pPr>
        <w:pStyle w:val="Compact"/>
        <w:numPr>
          <w:ilvl w:val="0"/>
          <w:numId w:val="1010"/>
        </w:numPr>
      </w:pPr>
      <w:r>
        <w:t xml:space="preserve">KSI-PIY</w:t>
      </w:r>
    </w:p>
    <w:p>
      <w:pPr>
        <w:pStyle w:val="Compact"/>
        <w:numPr>
          <w:ilvl w:val="0"/>
          <w:numId w:val="1010"/>
        </w:numPr>
      </w:pPr>
      <w:r>
        <w:t xml:space="preserve">KSI-MLA</w:t>
      </w:r>
    </w:p>
    <w:p>
      <w:pPr>
        <w:pStyle w:val="Compact"/>
        <w:numPr>
          <w:ilvl w:val="0"/>
          <w:numId w:val="1010"/>
        </w:numPr>
      </w:pPr>
      <w:r>
        <w:t xml:space="preserve">KSI-SVC</w:t>
      </w:r>
    </w:p>
    <w:p>
      <w:pPr>
        <w:pStyle w:val="Compact"/>
        <w:numPr>
          <w:ilvl w:val="0"/>
          <w:numId w:val="1010"/>
        </w:numPr>
      </w:pPr>
      <w:r>
        <w:t xml:space="preserve">KSI-CMT</w:t>
      </w:r>
    </w:p>
    <w:p>
      <w:pPr>
        <w:pStyle w:val="Compact"/>
        <w:numPr>
          <w:ilvl w:val="0"/>
          <w:numId w:val="1010"/>
        </w:numPr>
      </w:pPr>
      <w:r>
        <w:t xml:space="preserve">KSI-CNA</w:t>
      </w:r>
    </w:p>
    <w:p>
      <w:pPr>
        <w:pStyle w:val="Compact"/>
        <w:numPr>
          <w:ilvl w:val="0"/>
          <w:numId w:val="1010"/>
        </w:numPr>
      </w:pPr>
      <w:r>
        <w:t xml:space="preserve">KSI-CED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0" w:name="dependencies-sequencing"/>
    <w:p>
      <w:pPr>
        <w:pStyle w:val="Heading2"/>
      </w:pPr>
      <w:r>
        <w:t xml:space="preserve">1.9 9. Dependencies &amp; Sequencing</w:t>
      </w:r>
    </w:p>
    <w:bookmarkStart w:id="47" w:name="upstream-dependencies"/>
    <w:p>
      <w:pPr>
        <w:pStyle w:val="Heading3"/>
      </w:pPr>
      <w:r>
        <w:t xml:space="preserve">1.9.1 Upstream Dependencies</w:t>
      </w:r>
    </w:p>
    <w:p>
      <w:pPr>
        <w:pStyle w:val="Compact"/>
        <w:numPr>
          <w:ilvl w:val="0"/>
          <w:numId w:val="1011"/>
        </w:numPr>
      </w:pPr>
      <w:r>
        <w:t xml:space="preserve">HRIS</w:t>
      </w:r>
    </w:p>
    <w:p>
      <w:pPr>
        <w:pStyle w:val="Compact"/>
        <w:numPr>
          <w:ilvl w:val="0"/>
          <w:numId w:val="1011"/>
        </w:numPr>
      </w:pPr>
      <w:r>
        <w:t xml:space="preserve">PKI</w:t>
      </w:r>
    </w:p>
    <w:p>
      <w:pPr>
        <w:pStyle w:val="Compact"/>
        <w:numPr>
          <w:ilvl w:val="0"/>
          <w:numId w:val="1011"/>
        </w:numPr>
      </w:pPr>
      <w:r>
        <w:t xml:space="preserve">CMDB</w:t>
      </w:r>
    </w:p>
    <w:p>
      <w:pPr>
        <w:pStyle w:val="Compact"/>
        <w:numPr>
          <w:ilvl w:val="0"/>
          <w:numId w:val="1011"/>
        </w:numPr>
      </w:pPr>
      <w:r>
        <w:t xml:space="preserve">Network underlay</w:t>
      </w:r>
    </w:p>
    <w:bookmarkEnd w:id="47"/>
    <w:bookmarkStart w:id="48" w:name="downstream-dependencies"/>
    <w:p>
      <w:pPr>
        <w:pStyle w:val="Heading3"/>
      </w:pPr>
      <w:r>
        <w:t xml:space="preserve">1.9.2 Downstream Dependencies</w:t>
      </w:r>
    </w:p>
    <w:p>
      <w:pPr>
        <w:pStyle w:val="Compact"/>
        <w:numPr>
          <w:ilvl w:val="0"/>
          <w:numId w:val="1012"/>
        </w:numPr>
      </w:pPr>
      <w:r>
        <w:t xml:space="preserve">Modernization project plans (A-D)</w:t>
      </w:r>
    </w:p>
    <w:p>
      <w:pPr>
        <w:pStyle w:val="Compact"/>
        <w:numPr>
          <w:ilvl w:val="0"/>
          <w:numId w:val="1012"/>
        </w:numPr>
      </w:pPr>
      <w:r>
        <w:t xml:space="preserve">FedRAMP crosswalk</w:t>
      </w:r>
    </w:p>
    <w:p>
      <w:pPr>
        <w:pStyle w:val="Compact"/>
        <w:numPr>
          <w:ilvl w:val="0"/>
          <w:numId w:val="1012"/>
        </w:numPr>
      </w:pPr>
      <w:r>
        <w:t xml:space="preserve">Leadership briefing</w:t>
      </w:r>
    </w:p>
    <w:p>
      <w:pPr>
        <w:pStyle w:val="Compact"/>
        <w:numPr>
          <w:ilvl w:val="0"/>
          <w:numId w:val="1012"/>
        </w:numPr>
      </w:pPr>
      <w:r>
        <w:t xml:space="preserve">TIC 3.0 use cases</w:t>
      </w:r>
    </w:p>
    <w:bookmarkEnd w:id="48"/>
    <w:bookmarkStart w:id="49" w:name="timeline-alignment"/>
    <w:p>
      <w:pPr>
        <w:pStyle w:val="Heading3"/>
      </w:pPr>
      <w:r>
        <w:t xml:space="preserve">1.9.3 Timeline Alignment</w:t>
      </w:r>
    </w:p>
    <w:p>
      <w:pPr>
        <w:pStyle w:val="FirstParagraph"/>
      </w:pPr>
      <w:r>
        <w:t xml:space="preserve">This document maps to all phases of the modernization timeline.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governance-drift-controls"/>
    <w:p>
      <w:pPr>
        <w:pStyle w:val="Heading2"/>
      </w:pPr>
      <w:r>
        <w:t xml:space="preserve">1.10 10. Governance &amp; Drift Controls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of Authority</w:t>
            </w:r>
          </w:p>
        </w:tc>
        <w:tc>
          <w:tcPr/>
          <w:p>
            <w:pPr>
              <w:pStyle w:val="Compact"/>
            </w:pPr>
            <w:r>
              <w:t xml:space="preserve">HR (human identity), Network architecture (addressing), System owners (configuration), PKI (credential 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Detection</w:t>
            </w:r>
          </w:p>
        </w:tc>
        <w:tc>
          <w:tcPr/>
          <w:p>
            <w:pPr>
              <w:pStyle w:val="Compact"/>
            </w:pPr>
            <w:r>
              <w:t xml:space="preserve">ServiceNow CMDB reconciliation, Intune compliance, SD-WAN overlay validation, IPAM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Remediation Workflow</w:t>
            </w:r>
          </w:p>
        </w:tc>
        <w:tc>
          <w:tcPr/>
          <w:p>
            <w:pPr>
              <w:pStyle w:val="Compact"/>
            </w:pPr>
            <w:r>
              <w:t xml:space="preserve">Automated ServiceNow change, Conditional Access enforcement, Certificate renewal, IPAM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Anchors</w:t>
            </w:r>
          </w:p>
        </w:tc>
        <w:tc>
          <w:tcPr/>
          <w:p>
            <w:pPr>
              <w:pStyle w:val="Compact"/>
            </w:pPr>
            <w:r>
              <w:t xml:space="preserve">Entra ID logs, Infoblox API records, SD-WAN telemetry, Intune compliance reports, ServiceNow audit trails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7" w:name="appendices"/>
    <w:p>
      <w:pPr>
        <w:pStyle w:val="Heading2"/>
      </w:pPr>
      <w:r>
        <w:t xml:space="preserve">1.11 11. Appendices</w:t>
      </w:r>
    </w:p>
    <w:bookmarkStart w:id="52" w:name="appendix-a-definitions"/>
    <w:p>
      <w:pPr>
        <w:pStyle w:val="Heading3"/>
      </w:pPr>
      <w:r>
        <w:t xml:space="preserve">1.11.1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52"/>
    <w:bookmarkStart w:id="53" w:name="appendix-b-tables"/>
    <w:p>
      <w:pPr>
        <w:pStyle w:val="Heading3"/>
      </w:pPr>
      <w:r>
        <w:t xml:space="preserve">1.11.2 Appendix B: Tables</w:t>
      </w:r>
    </w:p>
    <w:p>
      <w:pPr>
        <w:pStyle w:val="FirstParagraph"/>
      </w:pPr>
      <w:r>
        <w:rPr>
          <w:i/>
          <w:iCs/>
        </w:rPr>
        <w:t xml:space="preserve">Frozen State Analysis table is embedded in Section 6.4. Control Plane Alignment table is in Section 4.</w:t>
      </w:r>
    </w:p>
    <w:bookmarkEnd w:id="53"/>
    <w:bookmarkStart w:id="54" w:name="appendix-c-diagram-references"/>
    <w:p>
      <w:pPr>
        <w:pStyle w:val="Heading3"/>
      </w:pPr>
      <w:r>
        <w:t xml:space="preserve">1.11.3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54"/>
    <w:bookmarkStart w:id="55" w:name="appendix-d-crosswalk-references"/>
    <w:p>
      <w:pPr>
        <w:pStyle w:val="Heading3"/>
      </w:pPr>
      <w:r>
        <w:t xml:space="preserve">1.11.4 Appendix D: Crosswalk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docs/fedramp22_summary_v1.0.md</w:t>
      </w:r>
      <w:r>
        <w:rPr>
          <w:i/>
          <w:iCs/>
        </w:rPr>
        <w:t xml:space="preserve">.</w:t>
      </w:r>
    </w:p>
    <w:bookmarkEnd w:id="55"/>
    <w:bookmarkStart w:id="56" w:name="appendix-e-evidence-sources"/>
    <w:p>
      <w:pPr>
        <w:pStyle w:val="Heading3"/>
      </w:pPr>
      <w:r>
        <w:t xml:space="preserve">1.11.5 Appendix E: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revision-history"/>
    <w:p>
      <w:pPr>
        <w:pStyle w:val="Heading2"/>
      </w:pPr>
      <w:r>
        <w:t xml:space="preserve">1.12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 Unifiedarchitecture</dc:title>
  <dc:creator>UIAO Modernization Program</dc:creator>
  <dc:language>en</dc:language>
  <cp:keywords/>
  <dcterms:created xsi:type="dcterms:W3CDTF">2026-03-31T17:15:01Z</dcterms:created>
  <dcterms:modified xsi:type="dcterms:W3CDTF">2026-03-31T17:15:01Z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