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Programvision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program-vision"/>
    <w:p>
      <w:pPr>
        <w:pStyle w:val="Heading2"/>
      </w:pPr>
      <w:r>
        <w:t xml:space="preserve">1.1 Program 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Vision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Program Vision for the Unified Identity-Addressing-Overlay (UIAO) modernization initiative. It articulates the strategic intent, mission alignment, guiding principles, and end-state outcomes required to transform the agency into a cloud-optimized, identity-driven, telemetry-informed federal enterprise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Strategic modernization vision</w:t>
      </w:r>
    </w:p>
    <w:p>
      <w:pPr>
        <w:pStyle w:val="Compact"/>
        <w:numPr>
          <w:ilvl w:val="0"/>
          <w:numId w:val="1001"/>
        </w:numPr>
      </w:pPr>
      <w:r>
        <w:t xml:space="preserve">Mission alignment and business drivers</w:t>
      </w:r>
    </w:p>
    <w:p>
      <w:pPr>
        <w:pStyle w:val="Compact"/>
        <w:numPr>
          <w:ilvl w:val="0"/>
          <w:numId w:val="1001"/>
        </w:numPr>
      </w:pPr>
      <w:r>
        <w:t xml:space="preserve">Guiding principles</w:t>
      </w:r>
    </w:p>
    <w:p>
      <w:pPr>
        <w:pStyle w:val="Compact"/>
        <w:numPr>
          <w:ilvl w:val="0"/>
          <w:numId w:val="1001"/>
        </w:numPr>
      </w:pPr>
      <w:r>
        <w:t xml:space="preserve">End-state architectural outcomes</w:t>
      </w:r>
    </w:p>
    <w:p>
      <w:pPr>
        <w:pStyle w:val="Compact"/>
        <w:numPr>
          <w:ilvl w:val="0"/>
          <w:numId w:val="1001"/>
        </w:numPr>
      </w:pPr>
      <w:r>
        <w:t xml:space="preserve">Technology pillars supporting the program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architecture (see foundational documents)</w:t>
      </w:r>
    </w:p>
    <w:p>
      <w:pPr>
        <w:pStyle w:val="Compact"/>
        <w:numPr>
          <w:ilvl w:val="0"/>
          <w:numId w:val="1002"/>
        </w:numPr>
      </w:pPr>
      <w:r>
        <w:t xml:space="preserve">Compliance mappings (see FedRAMP crosswalk)</w:t>
      </w:r>
    </w:p>
    <w:p>
      <w:pPr>
        <w:pStyle w:val="Compact"/>
        <w:numPr>
          <w:ilvl w:val="0"/>
          <w:numId w:val="1002"/>
        </w:numPr>
      </w:pPr>
      <w:r>
        <w:t xml:space="preserve">Project sequencing (see modernization timeline)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Program Vision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Foundation of Zero Trust and access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 and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location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truth source for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Alignment with TIC 3.0, FedRAMP 20x, NIST 800-63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vision describes how these planes unify into a single modernization program.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Program Vision is anchored in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modernization philosophy and guide all program decisions.</w:t>
      </w:r>
    </w:p>
    <w:p>
      <w:r>
        <w:pict>
          <v:rect style="width:0;height:1.5pt" o:hralign="center" o:hrstd="t" o:hr="t"/>
        </w:pict>
      </w:r>
    </w:p>
    <w:bookmarkEnd w:id="26"/>
    <w:bookmarkStart w:id="31" w:name="architecture-model"/>
    <w:p>
      <w:pPr>
        <w:pStyle w:val="Heading2"/>
      </w:pPr>
      <w:r>
        <w:t xml:space="preserve">1.6 6. Architecture Model</w:t>
      </w:r>
    </w:p>
    <w:bookmarkStart w:id="27" w:name="purpose-of-the-modernization-program"/>
    <w:p>
      <w:pPr>
        <w:pStyle w:val="Heading3"/>
      </w:pPr>
      <w:r>
        <w:t xml:space="preserve">1.6.1 6.1 Purpose of the Modernization Program</w:t>
      </w:r>
    </w:p>
    <w:p>
      <w:pPr>
        <w:pStyle w:val="FirstParagraph"/>
      </w:pPr>
      <w:r>
        <w:t xml:space="preserve">The agency must modernize to:</w:t>
      </w:r>
    </w:p>
    <w:p>
      <w:pPr>
        <w:pStyle w:val="Compact"/>
        <w:numPr>
          <w:ilvl w:val="0"/>
          <w:numId w:val="1004"/>
        </w:numPr>
      </w:pPr>
      <w:r>
        <w:t xml:space="preserve">Improve mission readiness</w:t>
      </w:r>
    </w:p>
    <w:p>
      <w:pPr>
        <w:pStyle w:val="Compact"/>
        <w:numPr>
          <w:ilvl w:val="0"/>
          <w:numId w:val="1004"/>
        </w:numPr>
      </w:pPr>
      <w:r>
        <w:t xml:space="preserve">Reduce cyber risk</w:t>
      </w:r>
    </w:p>
    <w:p>
      <w:pPr>
        <w:pStyle w:val="Compact"/>
        <w:numPr>
          <w:ilvl w:val="0"/>
          <w:numId w:val="1004"/>
        </w:numPr>
      </w:pPr>
      <w:r>
        <w:t xml:space="preserve">Meet federal mandates</w:t>
      </w:r>
    </w:p>
    <w:p>
      <w:pPr>
        <w:pStyle w:val="Compact"/>
        <w:numPr>
          <w:ilvl w:val="0"/>
          <w:numId w:val="1004"/>
        </w:numPr>
      </w:pPr>
      <w:r>
        <w:t xml:space="preserve">Improve citizen-facing services</w:t>
      </w:r>
    </w:p>
    <w:p>
      <w:pPr>
        <w:pStyle w:val="Compact"/>
        <w:numPr>
          <w:ilvl w:val="0"/>
          <w:numId w:val="1004"/>
        </w:numPr>
      </w:pPr>
      <w:r>
        <w:t xml:space="preserve">Replace 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Enable cloud-first operations</w:t>
      </w:r>
    </w:p>
    <w:p>
      <w:pPr>
        <w:pStyle w:val="Compact"/>
        <w:numPr>
          <w:ilvl w:val="0"/>
          <w:numId w:val="1004"/>
        </w:numPr>
      </w:pPr>
      <w:r>
        <w:t xml:space="preserve">Support real-time telemetry and location services</w:t>
      </w:r>
    </w:p>
    <w:p>
      <w:pPr>
        <w:pStyle w:val="FirstParagraph"/>
      </w:pPr>
      <w:r>
        <w:t xml:space="preserve">UIAO provides the architectural foundation for this transformation.</w:t>
      </w:r>
    </w:p>
    <w:bookmarkEnd w:id="27"/>
    <w:bookmarkStart w:id="28" w:name="technology-pillars"/>
    <w:p>
      <w:pPr>
        <w:pStyle w:val="Heading3"/>
      </w:pPr>
      <w:r>
        <w:t xml:space="preserve">1.6.2 6.2 Technology Pillars</w:t>
      </w:r>
    </w:p>
    <w:p>
      <w:pPr>
        <w:pStyle w:val="FirstParagraph"/>
      </w:pPr>
      <w:r>
        <w:t xml:space="preserve">The modernization program is built on real, production-grade federal technologies: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Authoritative Addressing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&amp; Compliance Plane</w:t>
      </w:r>
    </w:p>
    <w:p>
      <w:pPr>
        <w:pStyle w:val="FirstParagraph"/>
      </w:pPr>
      <w:r>
        <w:t xml:space="preserve">These pillars form the operational substrate of UIAO.</w:t>
      </w:r>
    </w:p>
    <w:bookmarkEnd w:id="28"/>
    <w:bookmarkStart w:id="29" w:name="guiding-principles"/>
    <w:p>
      <w:pPr>
        <w:pStyle w:val="Heading3"/>
      </w:pPr>
      <w:r>
        <w:t xml:space="preserve">1.6.3 6.3 Guiding Principles</w:t>
      </w:r>
    </w:p>
    <w:p>
      <w:pPr>
        <w:pStyle w:val="FirstParagraph"/>
      </w:pPr>
      <w:r>
        <w:t xml:space="preserve">The modernization program is governed by the following principles:</w:t>
      </w:r>
    </w:p>
    <w:p>
      <w:pPr>
        <w:pStyle w:val="Compact"/>
        <w:numPr>
          <w:ilvl w:val="0"/>
          <w:numId w:val="1006"/>
        </w:numPr>
      </w:pPr>
      <w:r>
        <w:t xml:space="preserve">Zero Trust by default</w:t>
      </w:r>
    </w:p>
    <w:p>
      <w:pPr>
        <w:pStyle w:val="Compact"/>
        <w:numPr>
          <w:ilvl w:val="0"/>
          <w:numId w:val="1006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6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6"/>
        </w:numPr>
      </w:pPr>
      <w:r>
        <w:t xml:space="preserve">Cloud-first routing</w:t>
      </w:r>
    </w:p>
    <w:p>
      <w:pPr>
        <w:pStyle w:val="Compact"/>
        <w:numPr>
          <w:ilvl w:val="0"/>
          <w:numId w:val="1006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6"/>
        </w:numPr>
      </w:pPr>
      <w:r>
        <w:t xml:space="preserve">FedRAMP-aligned controls</w:t>
      </w:r>
    </w:p>
    <w:p>
      <w:pPr>
        <w:pStyle w:val="Compact"/>
        <w:numPr>
          <w:ilvl w:val="0"/>
          <w:numId w:val="1006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ensure modernization is sustainable, compliant, and mission-aligned.</w:t>
      </w:r>
    </w:p>
    <w:bookmarkEnd w:id="29"/>
    <w:bookmarkStart w:id="30" w:name="end-state-vision"/>
    <w:p>
      <w:pPr>
        <w:pStyle w:val="Heading3"/>
      </w:pPr>
      <w:r>
        <w:t xml:space="preserve">1.6.4 6.4 End-State Vision</w:t>
      </w:r>
    </w:p>
    <w:p>
      <w:pPr>
        <w:pStyle w:val="FirstParagraph"/>
      </w:pPr>
      <w:r>
        <w:t xml:space="preserve">The end state is a fully modernized, identity-driven, cloud-optimized, telemetry-rich federal network where:</w:t>
      </w:r>
    </w:p>
    <w:p>
      <w:pPr>
        <w:pStyle w:val="Compact"/>
        <w:numPr>
          <w:ilvl w:val="0"/>
          <w:numId w:val="1007"/>
        </w:numPr>
      </w:pPr>
      <w:r>
        <w:t xml:space="preserve">Identity governs access, addressing, certificates, and policy</w:t>
      </w:r>
    </w:p>
    <w:p>
      <w:pPr>
        <w:pStyle w:val="Compact"/>
        <w:numPr>
          <w:ilvl w:val="0"/>
          <w:numId w:val="1007"/>
        </w:numPr>
      </w:pPr>
      <w:r>
        <w:t xml:space="preserve">Routing is cloud-first and performance-optimized</w:t>
      </w:r>
    </w:p>
    <w:p>
      <w:pPr>
        <w:pStyle w:val="Compact"/>
        <w:numPr>
          <w:ilvl w:val="0"/>
          <w:numId w:val="1007"/>
        </w:numPr>
      </w:pPr>
      <w:r>
        <w:t xml:space="preserve">Addressing is deterministic and identity-derived</w:t>
      </w:r>
    </w:p>
    <w:p>
      <w:pPr>
        <w:pStyle w:val="Compact"/>
        <w:numPr>
          <w:ilvl w:val="0"/>
          <w:numId w:val="1007"/>
        </w:numPr>
      </w:pPr>
      <w:r>
        <w:t xml:space="preserve">Telemetry provides real-time assurance and location inference</w:t>
      </w:r>
    </w:p>
    <w:p>
      <w:pPr>
        <w:pStyle w:val="Compact"/>
        <w:numPr>
          <w:ilvl w:val="0"/>
          <w:numId w:val="1007"/>
        </w:numPr>
      </w:pPr>
      <w:r>
        <w:t xml:space="preserve">Governance is automated and drift-resistant</w:t>
      </w:r>
    </w:p>
    <w:p>
      <w:pPr>
        <w:pStyle w:val="Compact"/>
        <w:numPr>
          <w:ilvl w:val="0"/>
          <w:numId w:val="1007"/>
        </w:numPr>
      </w:pPr>
      <w:r>
        <w:t xml:space="preserve">Security is continuous and Zero Trust-aligned</w:t>
      </w:r>
    </w:p>
    <w:p>
      <w:pPr>
        <w:pStyle w:val="Compact"/>
        <w:numPr>
          <w:ilvl w:val="0"/>
          <w:numId w:val="1007"/>
        </w:numPr>
      </w:pPr>
      <w:r>
        <w:t xml:space="preserve">Citizen experience is prioritized in every decision</w:t>
      </w:r>
    </w:p>
    <w:p>
      <w:pPr>
        <w:pStyle w:val="FirstParagraph"/>
      </w:pPr>
      <w:r>
        <w:t xml:space="preserve">This is the target architecture for the agency.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Program Vision adopts the UIAO runtime model:</w:t>
      </w:r>
    </w:p>
    <w:bookmarkStart w:id="32" w:name="conversation-centric-operation"/>
    <w:p>
      <w:pPr>
        <w:pStyle w:val="Heading3"/>
      </w:pPr>
      <w:r>
        <w:t xml:space="preserve">1.7.1 7.1 Conversation-Centric Operation</w:t>
      </w:r>
    </w:p>
    <w:p>
      <w:pPr>
        <w:pStyle w:val="FirstParagraph"/>
      </w:pPr>
      <w:r>
        <w:t xml:space="preserve">Every interaction is treated as a conversation with:</w:t>
      </w:r>
    </w:p>
    <w:p>
      <w:pPr>
        <w:pStyle w:val="Compact"/>
        <w:numPr>
          <w:ilvl w:val="0"/>
          <w:numId w:val="1008"/>
        </w:numPr>
      </w:pPr>
      <w:r>
        <w:t xml:space="preserve">Identity</w:t>
      </w:r>
    </w:p>
    <w:p>
      <w:pPr>
        <w:pStyle w:val="Compact"/>
        <w:numPr>
          <w:ilvl w:val="0"/>
          <w:numId w:val="1008"/>
        </w:numPr>
      </w:pPr>
      <w:r>
        <w:t xml:space="preserve">Addressing</w:t>
      </w:r>
    </w:p>
    <w:p>
      <w:pPr>
        <w:pStyle w:val="Compact"/>
        <w:numPr>
          <w:ilvl w:val="0"/>
          <w:numId w:val="1008"/>
        </w:numPr>
      </w:pPr>
      <w:r>
        <w:t xml:space="preserve">Certificates</w:t>
      </w:r>
    </w:p>
    <w:p>
      <w:pPr>
        <w:pStyle w:val="Compact"/>
        <w:numPr>
          <w:ilvl w:val="0"/>
          <w:numId w:val="1008"/>
        </w:numPr>
      </w:pPr>
      <w:r>
        <w:t xml:space="preserve">Path</w:t>
      </w:r>
    </w:p>
    <w:p>
      <w:pPr>
        <w:pStyle w:val="Compact"/>
        <w:numPr>
          <w:ilvl w:val="0"/>
          <w:numId w:val="1008"/>
        </w:numPr>
      </w:pPr>
      <w:r>
        <w:t xml:space="preserve">QoS</w:t>
      </w:r>
    </w:p>
    <w:p>
      <w:pPr>
        <w:pStyle w:val="Compact"/>
        <w:numPr>
          <w:ilvl w:val="0"/>
          <w:numId w:val="1008"/>
        </w:numPr>
      </w:pPr>
      <w:r>
        <w:t xml:space="preserve">Telemetry</w:t>
      </w:r>
    </w:p>
    <w:p>
      <w:pPr>
        <w:pStyle w:val="FirstParagraph"/>
      </w:pPr>
      <w:r>
        <w:t xml:space="preserve">bound together as a single correlated unit.</w:t>
      </w:r>
    </w:p>
    <w:bookmarkEnd w:id="32"/>
    <w:bookmarkStart w:id="33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33"/>
    <w:bookmarkStart w:id="34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continuously informs:</w:t>
      </w:r>
    </w:p>
    <w:p>
      <w:pPr>
        <w:pStyle w:val="Compact"/>
        <w:numPr>
          <w:ilvl w:val="0"/>
          <w:numId w:val="1009"/>
        </w:numPr>
      </w:pPr>
      <w:r>
        <w:t xml:space="preserve">Routing</w:t>
      </w:r>
    </w:p>
    <w:p>
      <w:pPr>
        <w:pStyle w:val="Compact"/>
        <w:numPr>
          <w:ilvl w:val="0"/>
          <w:numId w:val="1009"/>
        </w:numPr>
      </w:pPr>
      <w:r>
        <w:t xml:space="preserve">Access</w:t>
      </w:r>
    </w:p>
    <w:p>
      <w:pPr>
        <w:pStyle w:val="Compact"/>
        <w:numPr>
          <w:ilvl w:val="0"/>
          <w:numId w:val="1009"/>
        </w:numPr>
      </w:pPr>
      <w:r>
        <w:t xml:space="preserve">Segmentation</w:t>
      </w:r>
    </w:p>
    <w:p>
      <w:pPr>
        <w:pStyle w:val="Compact"/>
        <w:numPr>
          <w:ilvl w:val="0"/>
          <w:numId w:val="1009"/>
        </w:numPr>
      </w:pPr>
      <w:r>
        <w:t xml:space="preserve">Compliance posture</w:t>
      </w:r>
    </w:p>
    <w:p>
      <w:pPr>
        <w:pStyle w:val="FirstParagraph"/>
      </w:pPr>
      <w:r>
        <w:t xml:space="preserve">This ensures real-time alignment with Zero Trust and FedRAMP 20x.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liance-mapping"/>
    <w:p>
      <w:pPr>
        <w:pStyle w:val="Heading2"/>
      </w:pPr>
      <w:r>
        <w:t xml:space="preserve">1.8 8. Compliance Mapping</w:t>
      </w:r>
    </w:p>
    <w:p>
      <w:pPr>
        <w:pStyle w:val="FirstParagraph"/>
      </w:pPr>
      <w:r>
        <w:t xml:space="preserve">The Program Vision aligns with:</w:t>
      </w:r>
    </w:p>
    <w:bookmarkStart w:id="36" w:name="fedramp-20x"/>
    <w:p>
      <w:pPr>
        <w:pStyle w:val="Heading3"/>
      </w:pPr>
      <w:r>
        <w:t xml:space="preserve">1.8.1 8.1 FedRAMP 20x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6"/>
    <w:bookmarkStart w:id="37" w:name="tic-3.0"/>
    <w:p>
      <w:pPr>
        <w:pStyle w:val="Heading3"/>
      </w:pPr>
      <w:r>
        <w:t xml:space="preserve">1.8.2 8.2 TIC 3.0</w:t>
      </w:r>
    </w:p>
    <w:p>
      <w:pPr>
        <w:pStyle w:val="Compact"/>
        <w:numPr>
          <w:ilvl w:val="0"/>
          <w:numId w:val="1011"/>
        </w:numPr>
      </w:pPr>
      <w:r>
        <w:t xml:space="preserve">Cloud Use Case</w:t>
      </w:r>
    </w:p>
    <w:p>
      <w:pPr>
        <w:pStyle w:val="Compact"/>
        <w:numPr>
          <w:ilvl w:val="0"/>
          <w:numId w:val="1011"/>
        </w:numPr>
      </w:pPr>
      <w:r>
        <w:t xml:space="preserve">Branch Use Case</w:t>
      </w:r>
    </w:p>
    <w:p>
      <w:pPr>
        <w:pStyle w:val="Compact"/>
        <w:numPr>
          <w:ilvl w:val="0"/>
          <w:numId w:val="1011"/>
        </w:numPr>
      </w:pPr>
      <w:r>
        <w:t xml:space="preserve">Identity-centric segmentation</w:t>
      </w:r>
    </w:p>
    <w:bookmarkEnd w:id="37"/>
    <w:bookmarkStart w:id="38" w:name="nist-800-63"/>
    <w:p>
      <w:pPr>
        <w:pStyle w:val="Heading3"/>
      </w:pPr>
      <w:r>
        <w:t xml:space="preserve">1.8.3 8.3 NIST 800-63</w:t>
      </w:r>
    </w:p>
    <w:p>
      <w:pPr>
        <w:pStyle w:val="Compact"/>
        <w:numPr>
          <w:ilvl w:val="0"/>
          <w:numId w:val="1012"/>
        </w:numPr>
      </w:pPr>
      <w:r>
        <w:t xml:space="preserve">Identity assurance</w:t>
      </w:r>
    </w:p>
    <w:p>
      <w:pPr>
        <w:pStyle w:val="Compact"/>
        <w:numPr>
          <w:ilvl w:val="0"/>
          <w:numId w:val="1012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8"/>
    <w:bookmarkStart w:id="39" w:name="scuba"/>
    <w:p>
      <w:pPr>
        <w:pStyle w:val="Heading3"/>
      </w:pPr>
      <w:r>
        <w:t xml:space="preserve">1.8.4 8.4 SCuBA</w:t>
      </w:r>
    </w:p>
    <w:p>
      <w:pPr>
        <w:pStyle w:val="Compact"/>
        <w:numPr>
          <w:ilvl w:val="0"/>
          <w:numId w:val="1013"/>
        </w:numPr>
      </w:pPr>
      <w:r>
        <w:t xml:space="preserve">M365 hardening</w:t>
      </w:r>
    </w:p>
    <w:p>
      <w:pPr>
        <w:pStyle w:val="Compact"/>
        <w:numPr>
          <w:ilvl w:val="0"/>
          <w:numId w:val="1013"/>
        </w:numPr>
      </w:pPr>
      <w:r>
        <w:t xml:space="preserve">Identity governance</w:t>
      </w:r>
    </w:p>
    <w:p>
      <w:pPr>
        <w:pStyle w:val="Compact"/>
        <w:numPr>
          <w:ilvl w:val="0"/>
          <w:numId w:val="1013"/>
        </w:numPr>
      </w:pPr>
      <w:r>
        <w:t xml:space="preserve">Telemetry integration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dependencies-sequencing"/>
    <w:p>
      <w:pPr>
        <w:pStyle w:val="Heading2"/>
      </w:pPr>
      <w:r>
        <w:t xml:space="preserve">1.9 9. Dependencies &amp; Sequencing</w:t>
      </w:r>
    </w:p>
    <w:bookmarkStart w:id="41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</w:t>
      </w:r>
    </w:p>
    <w:p>
      <w:pPr>
        <w:pStyle w:val="Compact"/>
        <w:numPr>
          <w:ilvl w:val="0"/>
          <w:numId w:val="1014"/>
        </w:numPr>
      </w:pPr>
      <w:r>
        <w:t xml:space="preserve">Network modernization</w:t>
      </w:r>
    </w:p>
    <w:p>
      <w:pPr>
        <w:pStyle w:val="Compact"/>
        <w:numPr>
          <w:ilvl w:val="0"/>
          <w:numId w:val="1014"/>
        </w:numPr>
      </w:pPr>
      <w:r>
        <w:t xml:space="preserve">IPAM modernization</w:t>
      </w:r>
    </w:p>
    <w:p>
      <w:pPr>
        <w:pStyle w:val="Compact"/>
        <w:numPr>
          <w:ilvl w:val="0"/>
          <w:numId w:val="1014"/>
        </w:numPr>
      </w:pPr>
      <w:r>
        <w:t xml:space="preserve">Telemetry integration</w:t>
      </w:r>
    </w:p>
    <w:bookmarkEnd w:id="41"/>
    <w:bookmarkStart w:id="42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Leadership briefing</w:t>
      </w:r>
    </w:p>
    <w:p>
      <w:pPr>
        <w:pStyle w:val="Compact"/>
        <w:numPr>
          <w:ilvl w:val="0"/>
          <w:numId w:val="1015"/>
        </w:numPr>
      </w:pPr>
      <w:r>
        <w:t xml:space="preserve">Modernization timeline</w:t>
      </w:r>
    </w:p>
    <w:p>
      <w:pPr>
        <w:pStyle w:val="Compact"/>
        <w:numPr>
          <w:ilvl w:val="0"/>
          <w:numId w:val="1015"/>
        </w:numPr>
      </w:pPr>
      <w:r>
        <w:t xml:space="preserve">TIC 3.0 packages</w:t>
      </w:r>
    </w:p>
    <w:p>
      <w:pPr>
        <w:pStyle w:val="Compact"/>
        <w:numPr>
          <w:ilvl w:val="0"/>
          <w:numId w:val="1015"/>
        </w:numPr>
      </w:pPr>
      <w:r>
        <w:t xml:space="preserve">FedRAMP crosswalk</w:t>
      </w:r>
    </w:p>
    <w:bookmarkEnd w:id="42"/>
    <w:bookmarkStart w:id="43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Program Vision informs all phases of the modernization timeline.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overnance-drift-controls"/>
    <w:p>
      <w:pPr>
        <w:pStyle w:val="Heading2"/>
      </w:pPr>
      <w:r>
        <w:t xml:space="preserve">1.10 10. Governance &amp; Drift Controls</w:t>
      </w:r>
    </w:p>
    <w:bookmarkStart w:id="45" w:name="source-of-authority"/>
    <w:p>
      <w:pPr>
        <w:pStyle w:val="Heading3"/>
      </w:pPr>
      <w:r>
        <w:t xml:space="preserve">1.10.1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5"/>
    <w:bookmarkStart w:id="46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6"/>
        </w:numPr>
      </w:pPr>
      <w:r>
        <w:t xml:space="preserve">CMDB reconciliation</w:t>
      </w:r>
    </w:p>
    <w:p>
      <w:pPr>
        <w:pStyle w:val="Compact"/>
        <w:numPr>
          <w:ilvl w:val="0"/>
          <w:numId w:val="1016"/>
        </w:numPr>
      </w:pPr>
      <w:r>
        <w:t xml:space="preserve">Intune compliance</w:t>
      </w:r>
    </w:p>
    <w:p>
      <w:pPr>
        <w:pStyle w:val="Compact"/>
        <w:numPr>
          <w:ilvl w:val="0"/>
          <w:numId w:val="1016"/>
        </w:numPr>
      </w:pPr>
      <w:r>
        <w:t xml:space="preserve">SD-WAN overlay validation</w:t>
      </w:r>
    </w:p>
    <w:p>
      <w:pPr>
        <w:pStyle w:val="Compact"/>
        <w:numPr>
          <w:ilvl w:val="0"/>
          <w:numId w:val="1016"/>
        </w:numPr>
      </w:pPr>
      <w:r>
        <w:t xml:space="preserve">IPAM reconciliation</w:t>
      </w:r>
    </w:p>
    <w:bookmarkEnd w:id="46"/>
    <w:bookmarkStart w:id="47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7"/>
        </w:numPr>
      </w:pPr>
      <w:r>
        <w:t xml:space="preserve">Automated ServiceNow change</w:t>
      </w:r>
    </w:p>
    <w:p>
      <w:pPr>
        <w:pStyle w:val="Compact"/>
        <w:numPr>
          <w:ilvl w:val="0"/>
          <w:numId w:val="1017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7"/>
        </w:numPr>
      </w:pPr>
      <w:r>
        <w:t xml:space="preserve">Certificate renewal</w:t>
      </w:r>
    </w:p>
    <w:p>
      <w:pPr>
        <w:pStyle w:val="Compact"/>
        <w:numPr>
          <w:ilvl w:val="0"/>
          <w:numId w:val="1017"/>
        </w:numPr>
      </w:pPr>
      <w:r>
        <w:t xml:space="preserve">IPAM correction</w:t>
      </w:r>
    </w:p>
    <w:bookmarkEnd w:id="47"/>
    <w:bookmarkStart w:id="48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8"/>
        </w:numPr>
      </w:pPr>
      <w:r>
        <w:t xml:space="preserve">Entra ID logs</w:t>
      </w:r>
    </w:p>
    <w:p>
      <w:pPr>
        <w:pStyle w:val="Compact"/>
        <w:numPr>
          <w:ilvl w:val="0"/>
          <w:numId w:val="1018"/>
        </w:numPr>
      </w:pPr>
      <w:r>
        <w:t xml:space="preserve">Infoblox API records</w:t>
      </w:r>
    </w:p>
    <w:p>
      <w:pPr>
        <w:pStyle w:val="Compact"/>
        <w:numPr>
          <w:ilvl w:val="0"/>
          <w:numId w:val="1018"/>
        </w:numPr>
      </w:pPr>
      <w:r>
        <w:t xml:space="preserve">SD-WAN telemetry</w:t>
      </w:r>
    </w:p>
    <w:p>
      <w:pPr>
        <w:pStyle w:val="Compact"/>
        <w:numPr>
          <w:ilvl w:val="0"/>
          <w:numId w:val="1018"/>
        </w:numPr>
      </w:pPr>
      <w:r>
        <w:t xml:space="preserve">Intune compliance reports</w:t>
      </w:r>
    </w:p>
    <w:p>
      <w:pPr>
        <w:pStyle w:val="Compact"/>
        <w:numPr>
          <w:ilvl w:val="0"/>
          <w:numId w:val="1018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ppendices"/>
    <w:p>
      <w:pPr>
        <w:pStyle w:val="Heading2"/>
      </w:pPr>
      <w:r>
        <w:t xml:space="preserve">1.11 11. Appendices</w:t>
      </w:r>
    </w:p>
    <w:bookmarkStart w:id="50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0"/>
    <w:bookmarkStart w:id="51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Technology Pillars are in Section 6.2.</w:t>
      </w:r>
    </w:p>
    <w:bookmarkEnd w:id="51"/>
    <w:bookmarkStart w:id="52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2"/>
    <w:bookmarkStart w:id="53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Programvision</dc:title>
  <dc:creator>UIAO Modernization Program</dc:creator>
  <dc:language>en</dc:language>
  <cp:keywords/>
  <dcterms:created xsi:type="dcterms:W3CDTF">2026-03-31T17:21:46Z</dcterms:created>
  <dcterms:modified xsi:type="dcterms:W3CDTF">2026-03-31T17:21:46Z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