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09 Crosswalkindex</w:t>
      </w:r>
    </w:p>
    <w:p>
      <w:pPr>
        <w:pStyle w:val="Author"/>
      </w:pPr>
      <w:r>
        <w:t xml:space="preserve">UIAO Modernization Program</w:t>
      </w:r>
    </w:p>
    <w:p>
      <w:pPr>
        <w:pStyle w:val="Date"/>
      </w:pPr>
      <w:r>
        <w:t xml:space="preserve">March 31,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4" w:name="uiao-crosswalk-index"/>
    <w:p>
      <w:pPr>
        <w:pStyle w:val="Heading1"/>
      </w:pPr>
      <w:r>
        <w:t xml:space="preserve">1. UIAO Crosswalk Index</w:t>
      </w:r>
    </w:p>
    <w:bookmarkStart w:id="20" w:name="title-page"/>
    <w:p>
      <w:pPr>
        <w:pStyle w:val="Heading2"/>
      </w:pPr>
      <w:r>
        <w:t xml:space="preserve">1.1 1. Title Page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March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CUI/FOUO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Planes</w:t>
            </w:r>
          </w:p>
        </w:tc>
        <w:tc>
          <w:tcPr/>
          <w:p>
            <w:pPr>
              <w:pStyle w:val="Compact"/>
            </w:pPr>
            <w:r>
              <w:t xml:space="preserve">Identity, Network, Addressing, Telemetry, Security,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Index and Reference (02_Appendices)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1.2 2. Purpose</w:t>
      </w:r>
    </w:p>
    <w:p>
      <w:pPr>
        <w:pStyle w:val="FirstParagraph"/>
      </w:pPr>
      <w:r>
        <w:t xml:space="preserve">This document provides the authoritative index for all crosswalks, mappings, and compliance references within the Unified Identity-Addressing-Overlay (UIAO) canon. It ensures that every mapping — FedRAMP, NIST, TIC 3.0, SCuBA, KSI, and control-plane alignment — is discoverable, consistent, and traceable across the entire documentation set.</w:t>
      </w:r>
    </w:p>
    <w:p>
      <w:r>
        <w:pict>
          <v:rect style="width:0;height:1.5pt" o:hralign="center" o:hrstd="t" o:hr="t"/>
        </w:pict>
      </w:r>
    </w:p>
    <w:bookmarkEnd w:id="21"/>
    <w:bookmarkStart w:id="24" w:name="scope"/>
    <w:p>
      <w:pPr>
        <w:pStyle w:val="Heading2"/>
      </w:pPr>
      <w:r>
        <w:t xml:space="preserve">1.3 3. Scope</w:t>
      </w:r>
    </w:p>
    <w:bookmarkStart w:id="22" w:name="included"/>
    <w:p>
      <w:pPr>
        <w:pStyle w:val="Heading3"/>
      </w:pPr>
      <w:r>
        <w:t xml:space="preserve">1.3.1 Included</w:t>
      </w:r>
    </w:p>
    <w:p>
      <w:pPr>
        <w:pStyle w:val="Compact"/>
        <w:numPr>
          <w:ilvl w:val="0"/>
          <w:numId w:val="1001"/>
        </w:numPr>
      </w:pPr>
      <w:r>
        <w:t xml:space="preserve">Index of all crosswalks in the UIAO canon</w:t>
      </w:r>
    </w:p>
    <w:p>
      <w:pPr>
        <w:pStyle w:val="Compact"/>
        <w:numPr>
          <w:ilvl w:val="0"/>
          <w:numId w:val="1001"/>
        </w:numPr>
      </w:pPr>
      <w:r>
        <w:t xml:space="preserve">Mapping references across FedRAMP, NIST, TIC 3.0, SCuBA, and KSI</w:t>
      </w:r>
    </w:p>
    <w:p>
      <w:pPr>
        <w:pStyle w:val="Compact"/>
        <w:numPr>
          <w:ilvl w:val="0"/>
          <w:numId w:val="1001"/>
        </w:numPr>
      </w:pPr>
      <w:r>
        <w:t xml:space="preserve">Control-plane alignment references</w:t>
      </w:r>
    </w:p>
    <w:p>
      <w:pPr>
        <w:pStyle w:val="Compact"/>
        <w:numPr>
          <w:ilvl w:val="0"/>
          <w:numId w:val="1001"/>
        </w:numPr>
      </w:pPr>
      <w:r>
        <w:t xml:space="preserve">Document-to-document linkage</w:t>
      </w:r>
    </w:p>
    <w:p>
      <w:pPr>
        <w:pStyle w:val="Compact"/>
        <w:numPr>
          <w:ilvl w:val="0"/>
          <w:numId w:val="1001"/>
        </w:numPr>
      </w:pPr>
      <w:r>
        <w:t xml:space="preserve">Evidence source index</w:t>
      </w:r>
    </w:p>
    <w:bookmarkEnd w:id="22"/>
    <w:bookmarkStart w:id="23" w:name="excluded"/>
    <w:p>
      <w:pPr>
        <w:pStyle w:val="Heading3"/>
      </w:pPr>
      <w:r>
        <w:t xml:space="preserve">1.3.2 Excluded</w:t>
      </w:r>
    </w:p>
    <w:p>
      <w:pPr>
        <w:pStyle w:val="Compact"/>
        <w:numPr>
          <w:ilvl w:val="0"/>
          <w:numId w:val="1002"/>
        </w:numPr>
      </w:pPr>
      <w:r>
        <w:t xml:space="preserve">Full crosswalk content (see</w:t>
      </w:r>
      <w:r>
        <w:t xml:space="preserve"> </w:t>
      </w:r>
      <w:r>
        <w:rPr>
          <w:rStyle w:val="VerbatimChar"/>
        </w:rPr>
        <w:t xml:space="preserve">03_FedRAMP20x_Crosswalk.md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Detailed compliance narratives</w:t>
      </w:r>
    </w:p>
    <w:p>
      <w:pPr>
        <w:pStyle w:val="Compact"/>
        <w:numPr>
          <w:ilvl w:val="0"/>
          <w:numId w:val="1002"/>
        </w:numPr>
      </w:pPr>
      <w:r>
        <w:t xml:space="preserve">Project plans and timelines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rol-plane-alignment"/>
    <w:p>
      <w:pPr>
        <w:pStyle w:val="Heading2"/>
      </w:pPr>
      <w:r>
        <w:t xml:space="preserve">1.4 4. Control Plane Alignment</w:t>
      </w:r>
    </w:p>
    <w:p>
      <w:pPr>
        <w:pStyle w:val="FirstParagraph"/>
      </w:pPr>
      <w:r>
        <w:t xml:space="preserve">This index spans all six UIAO control planes: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Crosswalk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NIST 800-63, IA-2, AC-2, ICAM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AC-4, SC-7, TIC 3.0 Cloud and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CM-8, AC-4, deterministic IPAM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and Location</w:t>
            </w:r>
          </w:p>
        </w:tc>
        <w:tc>
          <w:tcPr/>
          <w:p>
            <w:pPr>
              <w:pStyle w:val="Compact"/>
            </w:pPr>
            <w:r>
              <w:t xml:space="preserve">CA-7, SI-4, KSI-MLA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and Compliance</w:t>
            </w:r>
          </w:p>
        </w:tc>
        <w:tc>
          <w:tcPr/>
          <w:p>
            <w:pPr>
              <w:pStyle w:val="Compact"/>
            </w:pPr>
            <w:r>
              <w:t xml:space="preserve">FedRAMP 20x, Zero Trust, SCuBA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CM-2, CM-3, CM-6, CM-8, CA-7</w:t>
            </w:r>
          </w:p>
        </w:tc>
      </w:tr>
    </w:tbl>
    <w:p>
      <w:pPr>
        <w:pStyle w:val="BodyText"/>
      </w:pPr>
      <w:r>
        <w:t xml:space="preserve">The index ensures each plane’s compliance responsibilities are traceable.</w:t>
      </w:r>
    </w:p>
    <w:p>
      <w:r>
        <w:pict>
          <v:rect style="width:0;height:1.5pt" o:hralign="center" o:hrstd="t" o:hr="t"/>
        </w:pict>
      </w:r>
    </w:p>
    <w:bookmarkEnd w:id="25"/>
    <w:bookmarkStart w:id="26" w:name="core-concepts"/>
    <w:p>
      <w:pPr>
        <w:pStyle w:val="Heading2"/>
      </w:pPr>
      <w:r>
        <w:t xml:space="preserve">1.5 5. Core Concepts</w:t>
      </w:r>
    </w:p>
    <w:p>
      <w:pPr>
        <w:pStyle w:val="FirstParagraph"/>
      </w:pPr>
      <w:r>
        <w:t xml:space="preserve">The Crosswalk Index is governed by the Seven Core Concepts: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Conversation as the atomic unit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Identity as the root namespace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Deterministic addressing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Certificate-anchored overlay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Telemetry as control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Embedded governance and automation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Public service first</w:t>
      </w:r>
    </w:p>
    <w:p>
      <w:pPr>
        <w:pStyle w:val="FirstParagraph"/>
      </w:pPr>
      <w:r>
        <w:t xml:space="preserve">These concepts appear consistently across all crosswalks.</w:t>
      </w:r>
    </w:p>
    <w:p>
      <w:r>
        <w:pict>
          <v:rect style="width:0;height:1.5pt" o:hralign="center" o:hrstd="t" o:hr="t"/>
        </w:pict>
      </w:r>
    </w:p>
    <w:bookmarkEnd w:id="26"/>
    <w:bookmarkStart w:id="29" w:name="architecture-model"/>
    <w:p>
      <w:pPr>
        <w:pStyle w:val="Heading2"/>
      </w:pPr>
      <w:r>
        <w:t xml:space="preserve">1.6 6. Architecture Model</w:t>
      </w:r>
    </w:p>
    <w:bookmarkStart w:id="27" w:name="crosswalk-categories"/>
    <w:p>
      <w:pPr>
        <w:pStyle w:val="Heading3"/>
      </w:pPr>
      <w:r>
        <w:t xml:space="preserve">1.6.1 6.1 Crosswalk Categories</w:t>
      </w:r>
    </w:p>
    <w:p>
      <w:pPr>
        <w:pStyle w:val="FirstParagraph"/>
      </w:pPr>
      <w:r>
        <w:t xml:space="preserve">UIAO crosswalks fall into five canonical categories: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FedRAMP 20x Crosswalk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NIST SP 800-53 Rev 5 Mapping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TIC 3.0 Cloud and Branch Alignment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SCuBA (M365) Hardening Alignment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KSI (Key Security Indicator) Framework</w:t>
      </w:r>
    </w:p>
    <w:p>
      <w:pPr>
        <w:pStyle w:val="FirstParagraph"/>
      </w:pPr>
      <w:r>
        <w:t xml:space="preserve">This index links each category to its authoritative document.</w:t>
      </w:r>
    </w:p>
    <w:bookmarkEnd w:id="27"/>
    <w:bookmarkStart w:id="28" w:name="document-level-crosswalk-index"/>
    <w:p>
      <w:pPr>
        <w:pStyle w:val="Heading3"/>
      </w:pPr>
      <w:r>
        <w:t xml:space="preserve">1.6.2 6.2 Document-Level Crosswalk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Crosswalk Type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03_FedRAMP20x_Crosswalk.md</w:t>
            </w:r>
          </w:p>
        </w:tc>
        <w:tc>
          <w:tcPr/>
          <w:p>
            <w:pPr>
              <w:pStyle w:val="Compact"/>
            </w:pPr>
            <w:r>
              <w:t xml:space="preserve">FedRAMP 20x to UIAO</w:t>
            </w:r>
          </w:p>
        </w:tc>
        <w:tc>
          <w:tcPr/>
          <w:p>
            <w:pPr>
              <w:pStyle w:val="Compact"/>
            </w:pPr>
            <w:r>
              <w:t xml:space="preserve">Primary crosswalk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04_FedRAMP20x_Phase2_Summary.md</w:t>
            </w:r>
          </w:p>
        </w:tc>
        <w:tc>
          <w:tcPr/>
          <w:p>
            <w:pPr>
              <w:pStyle w:val="Compact"/>
            </w:pPr>
            <w:r>
              <w:t xml:space="preserve">FedRAMP 20x to Modernization</w:t>
            </w:r>
          </w:p>
        </w:tc>
        <w:tc>
          <w:tcPr/>
          <w:p>
            <w:pPr>
              <w:pStyle w:val="Compact"/>
            </w:pPr>
            <w:r>
              <w:t xml:space="preserve">Summary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05_ManagementStack.md</w:t>
            </w:r>
          </w:p>
        </w:tc>
        <w:tc>
          <w:tcPr/>
          <w:p>
            <w:pPr>
              <w:pStyle w:val="Compact"/>
            </w:pPr>
            <w:r>
              <w:t xml:space="preserve">NIST CM/IR/AC/IA to ServiceNow/Intune</w:t>
            </w:r>
          </w:p>
        </w:tc>
        <w:tc>
          <w:tcPr/>
          <w:p>
            <w:pPr>
              <w:pStyle w:val="Compact"/>
            </w:pPr>
            <w:r>
              <w:t xml:space="preserve">Management mappings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00_ControlPlaneArchitecture.md</w:t>
            </w:r>
          </w:p>
        </w:tc>
        <w:tc>
          <w:tcPr/>
          <w:p>
            <w:pPr>
              <w:pStyle w:val="Compact"/>
            </w:pPr>
            <w:r>
              <w:t xml:space="preserve">Control planes to NIST</w:t>
            </w:r>
          </w:p>
        </w:tc>
        <w:tc>
          <w:tcPr/>
          <w:p>
            <w:pPr>
              <w:pStyle w:val="Compact"/>
            </w:pPr>
            <w:r>
              <w:t xml:space="preserve">Plane-level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01_UnifiedArchitecture.md</w:t>
            </w:r>
          </w:p>
        </w:tc>
        <w:tc>
          <w:tcPr/>
          <w:p>
            <w:pPr>
              <w:pStyle w:val="Compact"/>
            </w:pPr>
            <w:r>
              <w:t xml:space="preserve">Core concepts to NIST</w:t>
            </w:r>
          </w:p>
        </w:tc>
        <w:tc>
          <w:tcPr/>
          <w:p>
            <w:pPr>
              <w:pStyle w:val="Compact"/>
            </w:pPr>
            <w:r>
              <w:t xml:space="preserve">Conceptual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02_CanonSpecification.md</w:t>
            </w:r>
          </w:p>
        </w:tc>
        <w:tc>
          <w:tcPr/>
          <w:p>
            <w:pPr>
              <w:pStyle w:val="Compact"/>
            </w:pPr>
            <w:r>
              <w:t xml:space="preserve">Canon to NIST/TIC/SCuBA</w:t>
            </w:r>
          </w:p>
        </w:tc>
        <w:tc>
          <w:tcPr/>
          <w:p>
            <w:pPr>
              <w:pStyle w:val="Compact"/>
            </w:pPr>
            <w:r>
              <w:t xml:space="preserve">Doctrinal mapping</w:t>
            </w:r>
          </w:p>
        </w:tc>
      </w:tr>
    </w:tbl>
    <w:p>
      <w:pPr>
        <w:pStyle w:val="BodyText"/>
      </w:pPr>
      <w:r>
        <w:t xml:space="preserve">This table is the master reference for all compliance-related documents.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runtime-model"/>
    <w:p>
      <w:pPr>
        <w:pStyle w:val="Heading2"/>
      </w:pPr>
      <w:r>
        <w:t xml:space="preserve">1.7 7. Runtime Model</w:t>
      </w:r>
    </w:p>
    <w:p>
      <w:pPr>
        <w:pStyle w:val="FirstParagraph"/>
      </w:pPr>
      <w:r>
        <w:t xml:space="preserve">The Crosswalk Index follows the UIAO runtime model:</w:t>
      </w:r>
    </w:p>
    <w:bookmarkStart w:id="30" w:name="conversation-level-mapping"/>
    <w:p>
      <w:pPr>
        <w:pStyle w:val="Heading3"/>
      </w:pPr>
      <w:r>
        <w:t xml:space="preserve">1.7.1 7.1 Conversation-Level Mapping</w:t>
      </w:r>
    </w:p>
    <w:p>
      <w:pPr>
        <w:pStyle w:val="FirstParagraph"/>
      </w:pPr>
      <w:r>
        <w:t xml:space="preserve">Every crosswalk ties back to:</w:t>
      </w:r>
    </w:p>
    <w:p>
      <w:pPr>
        <w:pStyle w:val="Compact"/>
        <w:numPr>
          <w:ilvl w:val="0"/>
          <w:numId w:val="1005"/>
        </w:numPr>
      </w:pPr>
      <w:r>
        <w:t xml:space="preserve">Identity</w:t>
      </w:r>
    </w:p>
    <w:p>
      <w:pPr>
        <w:pStyle w:val="Compact"/>
        <w:numPr>
          <w:ilvl w:val="0"/>
          <w:numId w:val="1005"/>
        </w:numPr>
      </w:pPr>
      <w:r>
        <w:t xml:space="preserve">Addressing</w:t>
      </w:r>
    </w:p>
    <w:p>
      <w:pPr>
        <w:pStyle w:val="Compact"/>
        <w:numPr>
          <w:ilvl w:val="0"/>
          <w:numId w:val="1005"/>
        </w:numPr>
      </w:pPr>
      <w:r>
        <w:t xml:space="preserve">Certificates</w:t>
      </w:r>
    </w:p>
    <w:p>
      <w:pPr>
        <w:pStyle w:val="Compact"/>
        <w:numPr>
          <w:ilvl w:val="0"/>
          <w:numId w:val="1005"/>
        </w:numPr>
      </w:pPr>
      <w:r>
        <w:t xml:space="preserve">Path</w:t>
      </w:r>
    </w:p>
    <w:p>
      <w:pPr>
        <w:pStyle w:val="Compact"/>
        <w:numPr>
          <w:ilvl w:val="0"/>
          <w:numId w:val="1005"/>
        </w:numPr>
      </w:pPr>
      <w:r>
        <w:t xml:space="preserve">Telemetry</w:t>
      </w:r>
    </w:p>
    <w:p>
      <w:pPr>
        <w:pStyle w:val="Compact"/>
        <w:numPr>
          <w:ilvl w:val="0"/>
          <w:numId w:val="1005"/>
        </w:numPr>
      </w:pPr>
      <w:r>
        <w:t xml:space="preserve">Policy</w:t>
      </w:r>
    </w:p>
    <w:bookmarkEnd w:id="30"/>
    <w:bookmarkStart w:id="31" w:name="deterministic-mapping"/>
    <w:p>
      <w:pPr>
        <w:pStyle w:val="Heading3"/>
      </w:pPr>
      <w:r>
        <w:t xml:space="preserve">1.7.2 7.2 Deterministic Mapping</w:t>
      </w:r>
    </w:p>
    <w:p>
      <w:pPr>
        <w:pStyle w:val="FirstParagraph"/>
      </w:pPr>
      <w:r>
        <w:t xml:space="preserve">Given identical identity, boundary, telemetry, and assurance inputs, crosswalk outputs remain consistent across:</w:t>
      </w:r>
    </w:p>
    <w:p>
      <w:pPr>
        <w:pStyle w:val="Compact"/>
        <w:numPr>
          <w:ilvl w:val="0"/>
          <w:numId w:val="1006"/>
        </w:numPr>
      </w:pPr>
      <w:r>
        <w:t xml:space="preserve">Clouds</w:t>
      </w:r>
    </w:p>
    <w:p>
      <w:pPr>
        <w:pStyle w:val="Compact"/>
        <w:numPr>
          <w:ilvl w:val="0"/>
          <w:numId w:val="1006"/>
        </w:numPr>
      </w:pPr>
      <w:r>
        <w:t xml:space="preserve">Agencies</w:t>
      </w:r>
    </w:p>
    <w:p>
      <w:pPr>
        <w:pStyle w:val="Compact"/>
        <w:numPr>
          <w:ilvl w:val="0"/>
          <w:numId w:val="1006"/>
        </w:numPr>
      </w:pPr>
      <w:r>
        <w:t xml:space="preserve">Implementations</w:t>
      </w:r>
    </w:p>
    <w:bookmarkEnd w:id="31"/>
    <w:bookmarkStart w:id="32" w:name="continuous-evaluation"/>
    <w:p>
      <w:pPr>
        <w:pStyle w:val="Heading3"/>
      </w:pPr>
      <w:r>
        <w:t xml:space="preserve">1.7.3 7.3 Continuous Evaluation</w:t>
      </w:r>
    </w:p>
    <w:p>
      <w:pPr>
        <w:pStyle w:val="FirstParagraph"/>
      </w:pPr>
      <w:r>
        <w:t xml:space="preserve">Crosswalks support CA-7 continuous monitoring and SI-4 anomaly detection.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crosswalk-index-master-table"/>
    <w:p>
      <w:pPr>
        <w:pStyle w:val="Heading2"/>
      </w:pPr>
      <w:r>
        <w:t xml:space="preserve">1.8 8. Crosswalk Index (Master Table)</w:t>
      </w:r>
    </w:p>
    <w:p>
      <w:pPr>
        <w:pStyle w:val="FirstParagraph"/>
      </w:pPr>
      <w:r>
        <w:t xml:space="preserve">Below is the canonical master index of all crosswalks in the UIAO canon.</w:t>
      </w:r>
    </w:p>
    <w:bookmarkStart w:id="34" w:name="fedramp-20x-crosswalk-index"/>
    <w:p>
      <w:pPr>
        <w:pStyle w:val="Heading3"/>
      </w:pPr>
      <w:r>
        <w:t xml:space="preserve">1.8.1 8.1 FedRAMP 20x Crosswalk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FedRAMP 20x to UIAO</w:t>
            </w:r>
          </w:p>
        </w:tc>
        <w:tc>
          <w:tcPr/>
          <w:p>
            <w:pPr>
              <w:pStyle w:val="Compact"/>
            </w:pPr>
            <w:r>
              <w:t xml:space="preserve">Full 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03_FedRAMP20x_Crosswalk.md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Summary</w:t>
            </w:r>
          </w:p>
        </w:tc>
        <w:tc>
          <w:tcPr/>
          <w:p>
            <w:pPr>
              <w:pStyle w:val="Compact"/>
            </w:pPr>
            <w:r>
              <w:t xml:space="preserve">Modernization alignment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04_FedRAMP20x_Phase2_Summary.md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Sources</w:t>
            </w:r>
          </w:p>
        </w:tc>
        <w:tc>
          <w:tcPr/>
          <w:p>
            <w:pPr>
              <w:pStyle w:val="Compact"/>
            </w:pPr>
            <w:r>
              <w:t xml:space="preserve">Telemetry, identity, addressing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03_FedRAMP20x_Crosswalk.md</w:t>
            </w:r>
          </w:p>
        </w:tc>
      </w:tr>
    </w:tbl>
    <w:bookmarkEnd w:id="34"/>
    <w:bookmarkStart w:id="35" w:name="nist-sp-800-53-rev-5-crosswalk-index"/>
    <w:p>
      <w:pPr>
        <w:pStyle w:val="Heading3"/>
      </w:pPr>
      <w:r>
        <w:t xml:space="preserve">1.8.2 8.2 NIST SP 800-53 Rev 5 Crosswalk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Family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 (Access Control)</w:t>
            </w:r>
          </w:p>
        </w:tc>
        <w:tc>
          <w:tcPr/>
          <w:p>
            <w:pPr>
              <w:pStyle w:val="Compact"/>
            </w:pPr>
            <w:r>
              <w:t xml:space="preserve">Identity, segmentation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00_ControlPlaneArchitecture.md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 (Identity and Auth)</w:t>
            </w:r>
          </w:p>
        </w:tc>
        <w:tc>
          <w:tcPr/>
          <w:p>
            <w:pPr>
              <w:pStyle w:val="Compact"/>
            </w:pPr>
            <w:r>
              <w:t xml:space="preserve">Identity assurance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01_UnifiedArchitecture.md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 (Configuration Mgmt)</w:t>
            </w:r>
          </w:p>
        </w:tc>
        <w:tc>
          <w:tcPr/>
          <w:p>
            <w:pPr>
              <w:pStyle w:val="Compact"/>
            </w:pPr>
            <w:r>
              <w:t xml:space="preserve">CMDB, Intune, 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05_ManagementStack.md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 (System and Comm)</w:t>
            </w:r>
          </w:p>
        </w:tc>
        <w:tc>
          <w:tcPr/>
          <w:p>
            <w:pPr>
              <w:pStyle w:val="Compact"/>
            </w:pPr>
            <w:r>
              <w:t xml:space="preserve">mTLS, overlay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00_ControlPlaneArchitecture.md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(System Integrity)</w:t>
            </w:r>
          </w:p>
        </w:tc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03_FedRAMP20x_Crosswalk.md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(Assessment)</w:t>
            </w:r>
          </w:p>
        </w:tc>
        <w:tc>
          <w:tcPr/>
          <w:p>
            <w:pPr>
              <w:pStyle w:val="Compact"/>
            </w:pPr>
            <w:r>
              <w:t xml:space="preserve">Continuous monitoring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05_ManagementStack.md</w:t>
            </w:r>
          </w:p>
        </w:tc>
      </w:tr>
    </w:tbl>
    <w:bookmarkEnd w:id="35"/>
    <w:bookmarkStart w:id="36" w:name="tic-3.0-crosswalk-index"/>
    <w:p>
      <w:pPr>
        <w:pStyle w:val="Heading3"/>
      </w:pPr>
      <w:r>
        <w:t xml:space="preserve">1.8.3 8.3 TIC 3.0 Crosswalk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 Use Case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Identity-aware 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04_FedRAMP20x_Phase2_Summary.md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SD-WAN segmentation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04_FedRAMP20x_Phase2_Summary.md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ICAM governance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06_ProgramVision.md</w:t>
            </w:r>
          </w:p>
        </w:tc>
      </w:tr>
    </w:tbl>
    <w:bookmarkEnd w:id="36"/>
    <w:bookmarkStart w:id="37" w:name="scuba-m365-crosswalk-index"/>
    <w:p>
      <w:pPr>
        <w:pStyle w:val="Heading3"/>
      </w:pPr>
      <w:r>
        <w:t xml:space="preserve">1.8.4 8.4 SCuBA (M365) Crosswalk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Hardening</w:t>
            </w:r>
          </w:p>
        </w:tc>
        <w:tc>
          <w:tcPr/>
          <w:p>
            <w:pPr>
              <w:pStyle w:val="Compact"/>
            </w:pPr>
            <w:r>
              <w:t xml:space="preserve">MFA, CA, PIM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06_ProgramVision.md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M365 Network 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08_ModernizationTimeline.md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ICAM alignment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02_CanonSpecification.md</w:t>
            </w:r>
          </w:p>
        </w:tc>
      </w:tr>
    </w:tbl>
    <w:bookmarkEnd w:id="37"/>
    <w:bookmarkStart w:id="38" w:name="ksi-key-security-indicator-index"/>
    <w:p>
      <w:pPr>
        <w:pStyle w:val="Heading3"/>
      </w:pPr>
      <w:r>
        <w:t xml:space="preserve">1.8.5 8.5 KSI (Key Security Indicator)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KSI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Identity 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03_FedRAMP20x_Crosswalk.md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KSI-PIY</w:t>
            </w:r>
          </w:p>
        </w:tc>
        <w:tc>
          <w:tcPr/>
          <w:p>
            <w:pPr>
              <w:pStyle w:val="Compact"/>
            </w:pPr>
            <w:r>
              <w:t xml:space="preserve">Deterministic 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05_ManagementStack.md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KSI-MLA</w:t>
            </w:r>
          </w:p>
        </w:tc>
        <w:tc>
          <w:tcPr/>
          <w:p>
            <w:pPr>
              <w:pStyle w:val="Compact"/>
            </w:pPr>
            <w:r>
              <w:t xml:space="preserve">Network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03_FedRAMP20x_Crosswalk.md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KSI-SVC</w:t>
            </w:r>
          </w:p>
        </w:tc>
        <w:tc>
          <w:tcPr/>
          <w:p>
            <w:pPr>
              <w:pStyle w:val="Compact"/>
            </w:pPr>
            <w:r>
              <w:t xml:space="preserve">Certificate enforcement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00_ControlPlaneArchitecture.md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KSI-CMT</w:t>
            </w:r>
          </w:p>
        </w:tc>
        <w:tc>
          <w:tcPr/>
          <w:p>
            <w:pPr>
              <w:pStyle w:val="Compact"/>
            </w:pPr>
            <w:r>
              <w:t xml:space="preserve">Baseline 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05_ManagementStack.md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KSI-CNA</w:t>
            </w:r>
          </w:p>
        </w:tc>
        <w:tc>
          <w:tcPr/>
          <w:p>
            <w:pPr>
              <w:pStyle w:val="Compact"/>
            </w:pPr>
            <w:r>
              <w:t xml:space="preserve">Conversation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01_UnifiedArchitecture.md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KSI-CED</w:t>
            </w:r>
          </w:p>
        </w:tc>
        <w:tc>
          <w:tcPr/>
          <w:p>
            <w:pPr>
              <w:pStyle w:val="Compact"/>
            </w:pPr>
            <w:r>
              <w:t xml:space="preserve">Data minimization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02_CanonSpecification.md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dependencies-and-sequencing"/>
    <w:p>
      <w:pPr>
        <w:pStyle w:val="Heading2"/>
      </w:pPr>
      <w:r>
        <w:t xml:space="preserve">1.9 9. Dependencies and Sequencing</w:t>
      </w:r>
    </w:p>
    <w:bookmarkStart w:id="40" w:name="upstream-dependencies"/>
    <w:p>
      <w:pPr>
        <w:pStyle w:val="Heading3"/>
      </w:pPr>
      <w:r>
        <w:t xml:space="preserve">1.9.1 Upstream Dependencies</w:t>
      </w:r>
    </w:p>
    <w:p>
      <w:pPr>
        <w:pStyle w:val="Compact"/>
        <w:numPr>
          <w:ilvl w:val="0"/>
          <w:numId w:val="1007"/>
        </w:numPr>
      </w:pPr>
      <w:r>
        <w:t xml:space="preserve">Identity modernization</w:t>
      </w:r>
    </w:p>
    <w:p>
      <w:pPr>
        <w:pStyle w:val="Compact"/>
        <w:numPr>
          <w:ilvl w:val="0"/>
          <w:numId w:val="1007"/>
        </w:numPr>
      </w:pPr>
      <w:r>
        <w:t xml:space="preserve">IPAM modernization</w:t>
      </w:r>
    </w:p>
    <w:p>
      <w:pPr>
        <w:pStyle w:val="Compact"/>
        <w:numPr>
          <w:ilvl w:val="0"/>
          <w:numId w:val="1007"/>
        </w:numPr>
      </w:pPr>
      <w:r>
        <w:t xml:space="preserve">SD-WAN overlay deployment</w:t>
      </w:r>
    </w:p>
    <w:bookmarkEnd w:id="40"/>
    <w:bookmarkStart w:id="41" w:name="downstream-dependencies"/>
    <w:p>
      <w:pPr>
        <w:pStyle w:val="Heading3"/>
      </w:pPr>
      <w:r>
        <w:t xml:space="preserve">1.9.2 Downstream Dependencies</w:t>
      </w:r>
    </w:p>
    <w:p>
      <w:pPr>
        <w:pStyle w:val="Compact"/>
        <w:numPr>
          <w:ilvl w:val="0"/>
          <w:numId w:val="1008"/>
        </w:numPr>
      </w:pPr>
      <w:r>
        <w:t xml:space="preserve">TIC 3.0 packages</w:t>
      </w:r>
    </w:p>
    <w:p>
      <w:pPr>
        <w:pStyle w:val="Compact"/>
        <w:numPr>
          <w:ilvl w:val="0"/>
          <w:numId w:val="1008"/>
        </w:numPr>
      </w:pPr>
      <w:r>
        <w:t xml:space="preserve">FedRAMP 20x evidence generation</w:t>
      </w:r>
    </w:p>
    <w:p>
      <w:pPr>
        <w:pStyle w:val="Compact"/>
        <w:numPr>
          <w:ilvl w:val="0"/>
          <w:numId w:val="1008"/>
        </w:numPr>
      </w:pPr>
      <w:r>
        <w:t xml:space="preserve">Leadership reporting</w:t>
      </w:r>
    </w:p>
    <w:bookmarkEnd w:id="41"/>
    <w:bookmarkStart w:id="42" w:name="timeline-alignment"/>
    <w:p>
      <w:pPr>
        <w:pStyle w:val="Heading3"/>
      </w:pPr>
      <w:r>
        <w:t xml:space="preserve">1.9.3 Timeline Alignment</w:t>
      </w:r>
    </w:p>
    <w:p>
      <w:pPr>
        <w:pStyle w:val="FirstParagraph"/>
      </w:pPr>
      <w:r>
        <w:t xml:space="preserve">The Crosswalk Index supports all phases of the modernization timeline.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governance-and-drift-controls"/>
    <w:p>
      <w:pPr>
        <w:pStyle w:val="Heading2"/>
      </w:pPr>
      <w:r>
        <w:t xml:space="preserve">1.10 10. Governance and Drift Controls</w:t>
      </w:r>
    </w:p>
    <w:bookmarkStart w:id="44" w:name="source-of-authority"/>
    <w:p>
      <w:pPr>
        <w:pStyle w:val="Heading3"/>
      </w:pPr>
      <w:r>
        <w:t xml:space="preserve">1.10.1 Source of Authority</w:t>
      </w:r>
    </w:p>
    <w:p>
      <w:pPr>
        <w:pStyle w:val="Compact"/>
        <w:numPr>
          <w:ilvl w:val="0"/>
          <w:numId w:val="1009"/>
        </w:numPr>
      </w:pPr>
      <w:r>
        <w:t xml:space="preserve">HR — identity lifecycle</w:t>
      </w:r>
    </w:p>
    <w:p>
      <w:pPr>
        <w:pStyle w:val="Compact"/>
        <w:numPr>
          <w:ilvl w:val="0"/>
          <w:numId w:val="1009"/>
        </w:numPr>
      </w:pPr>
      <w:r>
        <w:t xml:space="preserve">Network architecture — addressing</w:t>
      </w:r>
    </w:p>
    <w:p>
      <w:pPr>
        <w:pStyle w:val="Compact"/>
        <w:numPr>
          <w:ilvl w:val="0"/>
          <w:numId w:val="1009"/>
        </w:numPr>
      </w:pPr>
      <w:r>
        <w:t xml:space="preserve">PKI — certificate trust</w:t>
      </w:r>
    </w:p>
    <w:p>
      <w:pPr>
        <w:pStyle w:val="Compact"/>
        <w:numPr>
          <w:ilvl w:val="0"/>
          <w:numId w:val="1009"/>
        </w:numPr>
      </w:pPr>
      <w:r>
        <w:t xml:space="preserve">System owners — configuration baselines</w:t>
      </w:r>
    </w:p>
    <w:bookmarkEnd w:id="44"/>
    <w:bookmarkStart w:id="45" w:name="drift-detection"/>
    <w:p>
      <w:pPr>
        <w:pStyle w:val="Heading3"/>
      </w:pPr>
      <w:r>
        <w:t xml:space="preserve">1.10.2 Drift Detection</w:t>
      </w:r>
    </w:p>
    <w:p>
      <w:pPr>
        <w:pStyle w:val="Compact"/>
        <w:numPr>
          <w:ilvl w:val="0"/>
          <w:numId w:val="1010"/>
        </w:numPr>
      </w:pPr>
      <w:r>
        <w:t xml:space="preserve">CMDB reconciliation</w:t>
      </w:r>
    </w:p>
    <w:p>
      <w:pPr>
        <w:pStyle w:val="Compact"/>
        <w:numPr>
          <w:ilvl w:val="0"/>
          <w:numId w:val="1010"/>
        </w:numPr>
      </w:pPr>
      <w:r>
        <w:t xml:space="preserve">Intune compliance</w:t>
      </w:r>
    </w:p>
    <w:p>
      <w:pPr>
        <w:pStyle w:val="Compact"/>
        <w:numPr>
          <w:ilvl w:val="0"/>
          <w:numId w:val="1010"/>
        </w:numPr>
      </w:pPr>
      <w:r>
        <w:t xml:space="preserve">SD-WAN overlay validation</w:t>
      </w:r>
    </w:p>
    <w:p>
      <w:pPr>
        <w:pStyle w:val="Compact"/>
        <w:numPr>
          <w:ilvl w:val="0"/>
          <w:numId w:val="1010"/>
        </w:numPr>
      </w:pPr>
      <w:r>
        <w:t xml:space="preserve">IPAM reconciliation</w:t>
      </w:r>
    </w:p>
    <w:bookmarkEnd w:id="45"/>
    <w:bookmarkStart w:id="46" w:name="remediation-workflow"/>
    <w:p>
      <w:pPr>
        <w:pStyle w:val="Heading3"/>
      </w:pPr>
      <w:r>
        <w:t xml:space="preserve">1.10.3 Remediation Workflow</w:t>
      </w:r>
    </w:p>
    <w:p>
      <w:pPr>
        <w:pStyle w:val="Compact"/>
        <w:numPr>
          <w:ilvl w:val="0"/>
          <w:numId w:val="1011"/>
        </w:numPr>
      </w:pPr>
      <w:r>
        <w:t xml:space="preserve">Automated ServiceNow change</w:t>
      </w:r>
    </w:p>
    <w:p>
      <w:pPr>
        <w:pStyle w:val="Compact"/>
        <w:numPr>
          <w:ilvl w:val="0"/>
          <w:numId w:val="1011"/>
        </w:numPr>
      </w:pPr>
      <w:r>
        <w:t xml:space="preserve">Conditional Access enforcement</w:t>
      </w:r>
    </w:p>
    <w:p>
      <w:pPr>
        <w:pStyle w:val="Compact"/>
        <w:numPr>
          <w:ilvl w:val="0"/>
          <w:numId w:val="1011"/>
        </w:numPr>
      </w:pPr>
      <w:r>
        <w:t xml:space="preserve">Certificate renewal</w:t>
      </w:r>
    </w:p>
    <w:p>
      <w:pPr>
        <w:pStyle w:val="Compact"/>
        <w:numPr>
          <w:ilvl w:val="0"/>
          <w:numId w:val="1011"/>
        </w:numPr>
      </w:pPr>
      <w:r>
        <w:t xml:space="preserve">IPAM correction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appendices"/>
    <w:p>
      <w:pPr>
        <w:pStyle w:val="Heading2"/>
      </w:pPr>
      <w:r>
        <w:t xml:space="preserve">1.11 11. Appendices</w:t>
      </w:r>
    </w:p>
    <w:bookmarkStart w:id="48" w:name="appendix-a-definitions"/>
    <w:p>
      <w:pPr>
        <w:pStyle w:val="Heading3"/>
      </w:pPr>
      <w:r>
        <w:t xml:space="preserve">1.11.1 Appendix A: Definitions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docs/glossary.md</w:t>
      </w:r>
    </w:p>
    <w:bookmarkEnd w:id="48"/>
    <w:bookmarkStart w:id="49" w:name="appendix-b-tables"/>
    <w:p>
      <w:pPr>
        <w:pStyle w:val="Heading3"/>
      </w:pPr>
      <w:r>
        <w:t xml:space="preserve">1.11.2 Appendix B: Tables</w:t>
      </w:r>
    </w:p>
    <w:p>
      <w:pPr>
        <w:pStyle w:val="FirstParagraph"/>
      </w:pPr>
      <w:r>
        <w:rPr>
          <w:i/>
          <w:iCs/>
        </w:rPr>
        <w:t xml:space="preserve">Crosswalk master tables are in Section 8. Control Plane Alignment table is in Section 4.</w:t>
      </w:r>
    </w:p>
    <w:bookmarkEnd w:id="49"/>
    <w:bookmarkStart w:id="50" w:name="appendix-c-evidence-sources"/>
    <w:p>
      <w:pPr>
        <w:pStyle w:val="Heading3"/>
      </w:pPr>
      <w:r>
        <w:t xml:space="preserve">1.11.3 Appendix C: Evidence Sources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data/parameters.yml</w:t>
      </w:r>
      <w:r>
        <w:rPr>
          <w:i/>
          <w:iCs/>
        </w:rPr>
        <w:t xml:space="preserve"> </w:t>
      </w:r>
      <w:r>
        <w:rPr>
          <w:i/>
          <w:iCs/>
        </w:rPr>
        <w:t xml:space="preserve">and control-library entries for evidence source catalogs.</w:t>
      </w:r>
    </w:p>
    <w:bookmarkEnd w:id="50"/>
    <w:bookmarkStart w:id="51" w:name="appendix-d-crosswalk-references"/>
    <w:p>
      <w:pPr>
        <w:pStyle w:val="Heading3"/>
      </w:pPr>
      <w:r>
        <w:t xml:space="preserve">1.11.4 Appendix D: Crosswalk References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data/crosswalk-index.yml</w:t>
      </w:r>
      <w:r>
        <w:rPr>
          <w:i/>
          <w:iCs/>
        </w:rPr>
        <w:t xml:space="preserve"> </w:t>
      </w:r>
      <w:r>
        <w:rPr>
          <w:i/>
          <w:iCs/>
        </w:rPr>
        <w:t xml:space="preserve">for machine-readable crosswalk data.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evision-history"/>
    <w:p>
      <w:pPr>
        <w:pStyle w:val="Heading2"/>
      </w:pPr>
      <w:r>
        <w:t xml:space="preserve">1.12 12.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UIAO Canon Engine</w:t>
            </w:r>
          </w:p>
        </w:tc>
        <w:tc>
          <w:tcPr/>
          <w:p>
            <w:pPr>
              <w:pStyle w:val="Compact"/>
            </w:pPr>
            <w:r>
              <w:t xml:space="preserve">Initial canonical release</w:t>
            </w:r>
          </w:p>
        </w:tc>
      </w:tr>
    </w:tbl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Crosswalkindex</dc:title>
  <dc:creator>UIAO Modernization Program</dc:creator>
  <dc:language>en</dc:language>
  <cp:keywords/>
  <dcterms:created xsi:type="dcterms:W3CDTF">2026-03-31T17:22:03Z</dcterms:created>
  <dcterms:modified xsi:type="dcterms:W3CDTF">2026-03-31T17:22:03Z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date">
    <vt:lpwstr>March 31, 2026</vt:lpwstr>
  </property>
  <property fmtid="{D5CDD505-2E9C-101B-9397-08002B2CF9AE}" pid="7" name="date-format">
    <vt:lpwstr>MMMM D,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ermaid">
    <vt:lpwstr/>
  </property>
  <property fmtid="{D5CDD505-2E9C-101B-9397-08002B2CF9AE}" pid="13" name="toc-title">
    <vt:lpwstr>Table of contents</vt:lpwstr>
  </property>
</Properties>
</file>