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FedRAMP</w:t>
      </w:r>
      <w:r>
        <w:t xml:space="preserve"> </w:t>
      </w:r>
      <w:r>
        <w:t xml:space="preserve">22</w:t>
      </w:r>
      <w:r>
        <w:t xml:space="preserve"> </w:t>
      </w:r>
      <w:r>
        <w:t xml:space="preserve">Compliance</w:t>
      </w:r>
      <w:r>
        <w:t xml:space="preserve"> </w:t>
      </w:r>
      <w:r>
        <w:t xml:space="preserve">Summary</w:t>
      </w:r>
    </w:p>
    <w:bookmarkStart w:id="20" w:name="uiao-fedramp-22-compliance-summary"/>
    <w:p>
      <w:pPr>
        <w:pStyle w:val="Heading1"/>
      </w:pPr>
      <w:r>
        <w:t xml:space="preserve">UIAO FedRAMP 22 Compliance Summary</w:t>
      </w:r>
    </w:p>
    <w:p>
      <w:pPr>
        <w:pStyle w:val="FirstParagraph"/>
      </w:pPr>
      <w:r>
        <w:rPr>
          <w:bCs/>
          <w:b/>
        </w:rPr>
        <w:t xml:space="preserve">Version 1.0</w:t>
      </w:r>
    </w:p>
    <w:p>
      <w:r>
        <w:pict>
          <v:rect style="width:0;height:1.5pt" o:hralign="center" o:hrstd="t" o:hr="t"/>
        </w:pict>
      </w:r>
    </w:p>
    <w:bookmarkEnd w:id="20"/>
    <w:bookmarkStart w:id="21" w:name="compliance-drivers"/>
    <w:p>
      <w:pPr>
        <w:pStyle w:val="Heading1"/>
      </w:pPr>
      <w:r>
        <w:t xml:space="preserve">Compliance Drivers</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7" w:name="architecture-supporting-fedramp-22"/>
    <w:p>
      <w:pPr>
        <w:pStyle w:val="Heading1"/>
      </w:pPr>
      <w:r>
        <w:t xml:space="preserve">Architecture Supporting FedRAMP 22</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5" w:name="core-concepts-supporting-fedramp-22"/>
    <w:p>
      <w:pPr>
        <w:pStyle w:val="Heading1"/>
      </w:pPr>
      <w:r>
        <w:t xml:space="preserve">Core Concepts Supporting FedRAMP 22</w:t>
      </w:r>
    </w:p>
    <w:bookmarkStart w:id="28" w:name="conversation-as-the-atomic-unit"/>
    <w:p>
      <w:pPr>
        <w:pStyle w:val="Heading3"/>
      </w:pPr>
      <w:r>
        <w:t xml:space="preserve">1. Conversation as the Atomic Unit</w:t>
      </w:r>
    </w:p>
    <w:p>
      <w:pPr>
        <w:pStyle w:val="FirstParagraph"/>
      </w:pPr>
      <w:r>
        <w:t xml:space="preserve">Every interaction—identity, certificate, addressing, path, QoS, and telemetry—is treated as a single, correlated conversation rather than isolated events.</w:t>
      </w:r>
    </w:p>
    <w:bookmarkEnd w:id="28"/>
    <w:bookmarkStart w:id="29" w:name="identity-as-the-root-namespace"/>
    <w:p>
      <w:pPr>
        <w:pStyle w:val="Heading3"/>
      </w:pPr>
      <w:r>
        <w:t xml:space="preserve">2.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29"/>
    <w:bookmarkStart w:id="30" w:name="deterministic-addressing"/>
    <w:p>
      <w:pPr>
        <w:pStyle w:val="Heading3"/>
      </w:pPr>
      <w:r>
        <w:t xml:space="preserve">3.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0"/>
    <w:bookmarkStart w:id="31" w:name="certificate-anchored-overlay"/>
    <w:p>
      <w:pPr>
        <w:pStyle w:val="Heading3"/>
      </w:pPr>
      <w:r>
        <w:t xml:space="preserve">4. Certificate-Anchored Overlay</w:t>
      </w:r>
    </w:p>
    <w:p>
      <w:pPr>
        <w:pStyle w:val="FirstParagraph"/>
      </w:pPr>
      <w:r>
        <w:t xml:space="preserve">Certificates and mutual TLS anchor tunnels, services, and trust relationships across the enterprise.</w:t>
      </w:r>
    </w:p>
    <w:bookmarkEnd w:id="31"/>
    <w:bookmarkStart w:id="32" w:name="telemetry-as-control"/>
    <w:p>
      <w:pPr>
        <w:pStyle w:val="Heading3"/>
      </w:pPr>
      <w:r>
        <w:t xml:space="preserve">5. Telemetry as Control</w:t>
      </w:r>
    </w:p>
    <w:p>
      <w:pPr>
        <w:pStyle w:val="FirstParagraph"/>
      </w:pPr>
      <w:r>
        <w:t xml:space="preserve">Telemetry becomes an active control input for routing, security, and compliance decisions rather than a passive reporting mechanism.</w:t>
      </w:r>
    </w:p>
    <w:bookmarkEnd w:id="32"/>
    <w:bookmarkStart w:id="33" w:name="embedded-governance-automation"/>
    <w:p>
      <w:pPr>
        <w:pStyle w:val="Heading3"/>
      </w:pPr>
      <w:r>
        <w:t xml:space="preserve">6. Embedded Governance &amp; Automation</w:t>
      </w:r>
    </w:p>
    <w:p>
      <w:pPr>
        <w:pStyle w:val="FirstParagraph"/>
      </w:pPr>
      <w:r>
        <w:t xml:space="preserve">Governance is executed through orchestrated workflows that enforce policy consistently and reduce operational burden.</w:t>
      </w:r>
    </w:p>
    <w:bookmarkEnd w:id="33"/>
    <w:bookmarkStart w:id="34" w:name="public-service-first"/>
    <w:p>
      <w:pPr>
        <w:pStyle w:val="Heading3"/>
      </w:pPr>
      <w:r>
        <w:t xml:space="preserve">7. Public Service First</w:t>
      </w:r>
    </w:p>
    <w:p>
      <w:pPr>
        <w:pStyle w:val="FirstParagraph"/>
      </w:pPr>
      <w:r>
        <w:t xml:space="preserve">Citizen experience, accessibility, and privacy remain top-level design constraints.</w:t>
      </w:r>
    </w:p>
    <w:p>
      <w:r>
        <w:pict>
          <v:rect style="width:0;height:1.5pt" o:hralign="center" o:hrstd="t" o:hr="t"/>
        </w:pict>
      </w:r>
    </w:p>
    <w:bookmarkEnd w:id="34"/>
    <w:bookmarkEnd w:id="35"/>
    <w:bookmarkStart w:id="36" w:name="frozen-state-compliance-risks"/>
    <w:p>
      <w:pPr>
        <w:pStyle w:val="Heading1"/>
      </w:pPr>
      <w:r>
        <w:t xml:space="preserve">Frozen State Compliance Risks</w:t>
      </w:r>
    </w:p>
    <w:p>
      <w:pPr>
        <w:pStyle w:val="FirstParagraph"/>
      </w:pPr>
      <w:r>
        <w:t xml:space="preserve">The agency’s current environment reflects a series of disconnected legacy systems that cannot support modern requirements. Identity is siloed across divisions, preventing a unified identity graph. Addressing is static and manually managed, creating operational risk and preventing accurate correlation. Network security relies on perimeter firewalls that cannot enforce identity-aware segmentation. Endpoint posture is inconsistent due to mixed tooling. Applications rely on monolithic architectures and local authentication, limiting scalability and modernization. Telemetry is collected but not correlated, preventing conversation-level visibility. Governance depends on email and manual change management, slowing operations and increasing error rates. Data protection relies on manual classification and noisy DLP, limiting effectiveness.</w:t>
      </w:r>
    </w:p>
    <w:p>
      <w:r>
        <w:pict>
          <v:rect style="width:0;height:1.5pt" o:hralign="center" o:hrstd="t" o:hr="t"/>
        </w:pict>
      </w:r>
    </w:p>
    <w:bookmarkEnd w:id="36"/>
    <w:bookmarkStart w:id="37" w:name="compliance-outcomes"/>
    <w:p>
      <w:pPr>
        <w:pStyle w:val="Heading1"/>
      </w:pPr>
      <w:r>
        <w:t xml:space="preserve">Compliance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r>
        <w:pict>
          <v:rect style="width:0;height:1.5pt" o:hralign="center" o:hrstd="t" o:hr="t"/>
        </w:pict>
      </w:r>
    </w:p>
    <w:p>
      <w:pPr>
        <w:pStyle w:val="FirstParagraph"/>
      </w:pPr>
      <w:r>
        <w:rPr>
          <w:iCs/>
          <w:i/>
        </w:rPr>
        <w:t xml:space="preserve">End of FedRAMP 22 Compliance Summary v1.0</w:t>
      </w:r>
    </w:p>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FedRAMP 22 Compliance Summary</dc:title>
  <dc:creator/>
  <cp:keywords/>
  <dcterms:created xsi:type="dcterms:W3CDTF">2026-03-20T16:11:22Z</dcterms:created>
  <dcterms:modified xsi:type="dcterms:W3CDTF">2026-03-20T16:11:22Z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