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c2d4b1872227839a4879ca90fb3df34596e6b10"/>
    <w:p>
      <w:pPr>
        <w:pStyle w:val="Heading1"/>
      </w:pPr>
      <w:r>
        <w:t xml:space="preserve">UIAO Vendor Technology Stack and Compliance Registry</w:t>
      </w:r>
    </w:p>
    <w:p>
      <w:pPr>
        <w:pStyle w:val="FirstParagraph"/>
      </w:pPr>
      <w:r>
        <w:rPr>
          <w:bCs/>
          <w:b/>
        </w:rPr>
        <w:t xml:space="preserve">Classification:</w:t>
      </w:r>
      <w:r>
        <w:t xml:space="preserve"> </w:t>
      </w:r>
      <w:r>
        <w:t xml:space="preserve">CUI/FOUO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Generated:</w:t>
      </w:r>
      <w:r>
        <w:t xml:space="preserve"> </w:t>
      </w:r>
      <w:r>
        <w:t xml:space="preserve">Auto-compiled from</w:t>
      </w:r>
      <w:r>
        <w:t xml:space="preserve"> </w:t>
      </w:r>
      <w:r>
        <w:rPr>
          <w:rStyle w:val="VerbatimChar"/>
        </w:rPr>
        <w:t xml:space="preserve">data/vendor-stack.yml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provides a comprehensive registry of the core technology vendors that comprise the UIAO architecture. It serves three critical functions within the Documentation-as-Code pipeline: it tracks each vendor’s FedRAMP authorization status, maps vendor capabilities to NIST 800-53 Rev 5 controls, and monitors compliance with active CISA directives including Binding Operational Directives and Emergency Directives.</w:t>
      </w:r>
    </w:p>
    <w:p>
      <w:pPr>
        <w:pStyle w:val="BodyText"/>
      </w:pPr>
      <w:r>
        <w:t xml:space="preserve">Unlike traditional vendor documentation maintained in static Word files or spreadsheets, this registry is machine-generated from structured YAML data stored in the repository. When a vendor releases a critical patch, updates its FedRAMP certification, or when CISA issues a new directive, a single update to</w:t>
      </w:r>
      <w:r>
        <w:t xml:space="preserve"> </w:t>
      </w:r>
      <w:r>
        <w:rPr>
          <w:rStyle w:val="VerbatimChar"/>
        </w:rPr>
        <w:t xml:space="preserve">data/vendor-stack.yml</w:t>
      </w:r>
      <w:r>
        <w:t xml:space="preserve"> </w:t>
      </w:r>
      <w:r>
        <w:t xml:space="preserve">automatically regenerates this document, the FedRAMP Crosswalk, and all downstream compliance artifacts.</w:t>
      </w:r>
    </w:p>
    <w:p>
      <w:r>
        <w:pict>
          <v:rect style="width:0;height:1.5pt" o:hralign="center" o:hrstd="t" o:hr="t"/>
        </w:pict>
      </w:r>
    </w:p>
    <w:bookmarkEnd w:id="20"/>
    <w:bookmarkStart w:id="21" w:name="how-this-document-works"/>
    <w:p>
      <w:pPr>
        <w:pStyle w:val="Heading2"/>
      </w:pPr>
      <w:r>
        <w:t xml:space="preserve">2. How This Document Works</w:t>
      </w:r>
    </w:p>
    <w:p>
      <w:pPr>
        <w:pStyle w:val="FirstParagraph"/>
      </w:pPr>
      <w:r>
        <w:t xml:space="preserve">The vendor stack document is produced through the UIAO Document Compiler pipeline, which operates as follows: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Data Layer:</w:t>
      </w:r>
      <w:r>
        <w:t xml:space="preserve"> </w:t>
      </w:r>
      <w:r>
        <w:t xml:space="preserve">The structured vendor data resides in</w:t>
      </w:r>
      <w:r>
        <w:t xml:space="preserve"> </w:t>
      </w:r>
      <w:r>
        <w:rPr>
          <w:rStyle w:val="VerbatimChar"/>
        </w:rPr>
        <w:t xml:space="preserve">data/vendor-stack.yml</w:t>
      </w:r>
      <w:r>
        <w:t xml:space="preserve">. Each vendor entry includes its product name, UIAO pillar mapping, FedRAMP certification class, required software versions, applicable NIST controls, KSI category mapping, and any active CISA directive compliance notes.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Template Layer:</w:t>
      </w:r>
      <w:r>
        <w:t xml:space="preserve"> </w:t>
      </w:r>
      <w:r>
        <w:t xml:space="preserve">This Jinja2 template (</w:t>
      </w:r>
      <w:r>
        <w:rPr>
          <w:rStyle w:val="VerbatimChar"/>
        </w:rPr>
        <w:t xml:space="preserve">templates/vendor_stack_v1.0.md.j2</w:t>
      </w:r>
      <w:r>
        <w:t xml:space="preserve">) defines the narrative structure and formatting. It uses Jinja2 loops and conditionals to iterate over the vendor entries and render them into readable Markdown.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Generation Engine: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scripts/generate_docs.py</w:t>
      </w:r>
      <w:r>
        <w:t xml:space="preserve"> </w:t>
      </w:r>
      <w:r>
        <w:t xml:space="preserve">Python script loads the canon YAML and all</w:t>
      </w:r>
      <w:r>
        <w:t xml:space="preserve"> </w:t>
      </w:r>
      <w:r>
        <w:rPr>
          <w:rStyle w:val="VerbatimChar"/>
        </w:rPr>
        <w:t xml:space="preserve">data/*.yml</w:t>
      </w:r>
      <w:r>
        <w:t xml:space="preserve"> </w:t>
      </w:r>
      <w:r>
        <w:t xml:space="preserve">files, merges them into a unified context dictionary, and passes that context to each Jinja2 template. The template engine replaces variable placeholders with actual data values.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CI/CD Pipeline:</w:t>
      </w:r>
      <w:r>
        <w:t xml:space="preserve"> </w:t>
      </w:r>
      <w:r>
        <w:t xml:space="preserve">On every push to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branch, a GitHub Actions workflow (</w:t>
      </w:r>
      <w:r>
        <w:rPr>
          <w:rStyle w:val="VerbatimChar"/>
        </w:rPr>
        <w:t xml:space="preserve">.github/workflows/docs.yml</w:t>
      </w:r>
      <w:r>
        <w:t xml:space="preserve">) triggers the generation script. The output is written to both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site/</w:t>
      </w:r>
      <w:r>
        <w:t xml:space="preserve"> </w:t>
      </w:r>
      <w:r>
        <w:t xml:space="preserve">directories, then committed back to the repository automatically.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Website Delivery:</w:t>
      </w:r>
      <w:r>
        <w:t xml:space="preserve"> </w:t>
      </w:r>
      <w:r>
        <w:t xml:space="preserve">The GitHub Pages site at</w:t>
      </w:r>
      <w:r>
        <w:t xml:space="preserve"> </w:t>
      </w:r>
      <w:r>
        <w:rPr>
          <w:rStyle w:val="VerbatimChar"/>
        </w:rPr>
        <w:t xml:space="preserve">https://whalermike.github.io/uiao-core/</w:t>
      </w:r>
      <w:r>
        <w:t xml:space="preserve"> </w:t>
      </w:r>
      <w:r>
        <w:t xml:space="preserve">reads the generated Markdown from the</w:t>
      </w:r>
      <w:r>
        <w:t xml:space="preserve"> </w:t>
      </w:r>
      <w:r>
        <w:rPr>
          <w:rStyle w:val="VerbatimChar"/>
        </w:rPr>
        <w:t xml:space="preserve">site/</w:t>
      </w:r>
      <w:r>
        <w:t xml:space="preserve"> </w:t>
      </w:r>
      <w:r>
        <w:t xml:space="preserve">directory and renders it through the USWDS-styled Document Compiler interface, where it can be viewed inline or downloaded in Markdown, Word, PDF, or HTML formats.</w:t>
      </w:r>
    </w:p>
    <w:p>
      <w:r>
        <w:pict>
          <v:rect style="width:0;height:1.5pt" o:hralign="center" o:hrstd="t" o:hr="t"/>
        </w:pict>
      </w:r>
    </w:p>
    <w:bookmarkEnd w:id="21"/>
    <w:bookmarkStart w:id="41" w:name="core-vendor-registry"/>
    <w:p>
      <w:pPr>
        <w:pStyle w:val="Heading2"/>
      </w:pPr>
      <w:r>
        <w:t xml:space="preserve">3. Core Vendor Registry</w:t>
      </w:r>
    </w:p>
    <w:p>
      <w:pPr>
        <w:pStyle w:val="FirstParagraph"/>
      </w:pPr>
      <w:r>
        <w:t xml:space="preserve">The UIAO architecture integrates five primary technology vendors, each mapped to a specific architectural pillar. Under FedRAMP 20x (2026 Consolidated Rules), all vendors are classified using the new Class-based system, where Class C corresponds to the legacy Moderate baseline.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UIAO 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FedRAMP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Infoblox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BloxOne Threat Defense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Addressing 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Catalyst SD-WAN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 (O)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ID + Informed Network Routing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(U)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Intune Endpoint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(U) - Device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Defender for Endpoint (MDE)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 (O) - Endpoint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SIEM/SOAR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(G) - Security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Palo Alto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Next-Generation Firewall (NGFW)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 (O) - Security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Access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(U) - Privileged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Service Management (ITSM) + GRC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Splunk Enterprise (GovCloud)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(G) - Log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</w:t>
            </w:r>
          </w:p>
        </w:tc>
      </w:tr>
    </w:tbl>
    <w:bookmarkStart w:id="23" w:name="infoblox-bloxone-threat-defense"/>
    <w:p>
      <w:pPr>
        <w:pStyle w:val="Heading3"/>
      </w:pPr>
      <w:r>
        <w:t xml:space="preserve">3.1. Infoblox — BloxOne Threat Defense</w:t>
      </w:r>
    </w:p>
    <w:p>
      <w:pPr>
        <w:pStyle w:val="FirstParagraph"/>
      </w:pPr>
      <w:r>
        <w:rPr>
          <w:bCs/>
          <w:b/>
        </w:rPr>
        <w:t xml:space="preserve">UIAO Pillar:</w:t>
      </w:r>
      <w:r>
        <w:t xml:space="preserve"> </w:t>
      </w:r>
      <w:r>
        <w:t xml:space="preserve">Addressing (A)</w:t>
      </w:r>
      <w:r>
        <w:br/>
      </w:r>
      <w:r>
        <w:rPr>
          <w:bCs/>
          <w:b/>
        </w:rPr>
        <w:t xml:space="preserve">Role:</w:t>
      </w:r>
      <w:r>
        <w:t xml:space="preserve"> </w:t>
      </w:r>
      <w:r>
        <w:t xml:space="preserve">Deterministic IPAM and DNS Security</w:t>
      </w:r>
      <w:r>
        <w:br/>
      </w:r>
      <w:r>
        <w:rPr>
          <w:bCs/>
          <w:b/>
        </w:rPr>
        <w:t xml:space="preserve">FedRAMP Certification:</w:t>
      </w:r>
      <w:r>
        <w:t xml:space="preserve"> </w:t>
      </w:r>
      <w:r>
        <w:t xml:space="preserve">Class C (FR1908234567)</w:t>
      </w:r>
      <w:r>
        <w:br/>
      </w:r>
      <w:r>
        <w:rPr>
          <w:bCs/>
          <w:b/>
        </w:rPr>
        <w:t xml:space="preserve">Authorization Status:</w:t>
      </w:r>
      <w:r>
        <w:t xml:space="preserve"> </w:t>
      </w:r>
      <w:r>
        <w:t xml:space="preserve">Authorized</w:t>
      </w:r>
      <w:r>
        <w:br/>
      </w:r>
      <w:r>
        <w:rPr>
          <w:bCs/>
          <w:b/>
        </w:rPr>
        <w:t xml:space="preserve">Required Version:</w:t>
      </w:r>
      <w:r>
        <w:t xml:space="preserve"> </w:t>
      </w:r>
      <w:r>
        <w:t xml:space="preserve">NIOS 9.0.8 / BloxOne 2026.1</w:t>
      </w:r>
    </w:p>
    <w:p>
      <w:pPr>
        <w:pStyle w:val="BodyText"/>
      </w:pPr>
      <w:r>
        <w:rPr>
          <w:bCs/>
          <w:b/>
        </w:rPr>
        <w:t xml:space="preserve">NIST 800-53 Controls:</w:t>
      </w:r>
    </w:p>
    <w:p>
      <w:pPr>
        <w:numPr>
          <w:ilvl w:val="0"/>
          <w:numId w:val="1002"/>
        </w:numPr>
      </w:pPr>
      <w:r>
        <w:t xml:space="preserve">CM-8: System Component Inventory</w:t>
      </w:r>
    </w:p>
    <w:p>
      <w:pPr>
        <w:numPr>
          <w:ilvl w:val="0"/>
          <w:numId w:val="1002"/>
        </w:numPr>
      </w:pPr>
      <w:r>
        <w:t xml:space="preserve">SC-20: Secure Name/Address Resolution</w:t>
      </w:r>
    </w:p>
    <w:p>
      <w:pPr>
        <w:pStyle w:val="FirstParagraph"/>
      </w:pPr>
      <w:r>
        <w:rPr>
          <w:bCs/>
          <w:b/>
        </w:rPr>
        <w:t xml:space="preserve">KSI Category:</w:t>
      </w:r>
      <w:r>
        <w:t xml:space="preserve"> </w:t>
      </w:r>
      <w:r>
        <w:rPr>
          <w:rStyle w:val="VerbatimChar"/>
        </w:rPr>
        <w:t xml:space="preserve">KSI-PIY</w:t>
      </w:r>
      <w:r>
        <w:br/>
      </w:r>
      <w:r>
        <w:rPr>
          <w:bCs/>
          <w:b/>
        </w:rPr>
        <w:t xml:space="preserve">Evidence Method:</w:t>
      </w:r>
      <w:r>
        <w:t xml:space="preserve"> </w:t>
      </w:r>
      <w:r>
        <w:t xml:space="preserve">BloxOne DDI API - Identity-to-IP Binding Logs</w:t>
      </w:r>
    </w:p>
    <w:p>
      <w:pPr>
        <w:pStyle w:val="BodyText"/>
      </w:pPr>
      <w:r>
        <w:rPr>
          <w:bCs/>
          <w:b/>
        </w:rPr>
        <w:t xml:space="preserve">Documentation:</w:t>
      </w:r>
      <w:r>
        <w:t xml:space="preserve"> </w:t>
      </w:r>
      <w:hyperlink r:id="rId22">
        <w:r>
          <w:rPr>
            <w:rStyle w:val="Hyperlink"/>
          </w:rPr>
          <w:t xml:space="preserve">Infoblox Technical Docs</w:t>
        </w:r>
      </w:hyperlink>
    </w:p>
    <w:bookmarkEnd w:id="23"/>
    <w:bookmarkStart w:id="26" w:name="cisco-catalyst-sd-wan"/>
    <w:p>
      <w:pPr>
        <w:pStyle w:val="Heading3"/>
      </w:pPr>
      <w:r>
        <w:t xml:space="preserve">3.2. Cisco — Catalyst SD-WAN</w:t>
      </w:r>
    </w:p>
    <w:p>
      <w:pPr>
        <w:pStyle w:val="FirstParagraph"/>
      </w:pPr>
      <w:r>
        <w:rPr>
          <w:bCs/>
          <w:b/>
        </w:rPr>
        <w:t xml:space="preserve">UIAO Pillar:</w:t>
      </w:r>
      <w:r>
        <w:t xml:space="preserve"> </w:t>
      </w:r>
      <w:r>
        <w:t xml:space="preserve">Overlay (O)</w:t>
      </w:r>
      <w:r>
        <w:br/>
      </w:r>
      <w:r>
        <w:rPr>
          <w:bCs/>
          <w:b/>
        </w:rPr>
        <w:t xml:space="preserve">Role:</w:t>
      </w:r>
      <w:r>
        <w:t xml:space="preserve"> </w:t>
      </w:r>
      <w:r>
        <w:t xml:space="preserve">Encrypted mTLS Service Chain and Fabric Transport</w:t>
      </w:r>
      <w:r>
        <w:br/>
      </w:r>
      <w:r>
        <w:rPr>
          <w:bCs/>
          <w:b/>
        </w:rPr>
        <w:t xml:space="preserve">FedRAMP Certification:</w:t>
      </w:r>
      <w:r>
        <w:t xml:space="preserve"> </w:t>
      </w:r>
      <w:r>
        <w:t xml:space="preserve">Class C (FR2104567890)</w:t>
      </w:r>
      <w:r>
        <w:br/>
      </w:r>
      <w:r>
        <w:rPr>
          <w:bCs/>
          <w:b/>
        </w:rPr>
        <w:t xml:space="preserve">Authorization Status:</w:t>
      </w:r>
      <w:r>
        <w:t xml:space="preserve"> </w:t>
      </w:r>
      <w:r>
        <w:t xml:space="preserve">Authorized</w:t>
      </w:r>
      <w:r>
        <w:br/>
      </w:r>
      <w:r>
        <w:rPr>
          <w:bCs/>
          <w:b/>
        </w:rPr>
        <w:t xml:space="preserve">Minimum IOS-XE:</w:t>
      </w:r>
      <w:r>
        <w:t xml:space="preserve"> </w:t>
      </w:r>
      <w:r>
        <w:t xml:space="preserve">17.12.1a</w:t>
      </w:r>
    </w:p>
    <w:p>
      <w:pPr>
        <w:pStyle w:val="BodyText"/>
      </w:pPr>
      <w:r>
        <w:rPr>
          <w:bCs/>
          <w:b/>
        </w:rPr>
        <w:t xml:space="preserve">NIST 800-53 Controls:</w:t>
      </w:r>
    </w:p>
    <w:p>
      <w:pPr>
        <w:numPr>
          <w:ilvl w:val="0"/>
          <w:numId w:val="1003"/>
        </w:numPr>
      </w:pPr>
      <w:r>
        <w:t xml:space="preserve">AC-4: Information Flow Enforcement</w:t>
      </w:r>
    </w:p>
    <w:p>
      <w:pPr>
        <w:numPr>
          <w:ilvl w:val="0"/>
          <w:numId w:val="1003"/>
        </w:numPr>
      </w:pPr>
      <w:r>
        <w:t xml:space="preserve">SC-8: Transmission Confidentiality</w:t>
      </w:r>
    </w:p>
    <w:p>
      <w:pPr>
        <w:numPr>
          <w:ilvl w:val="0"/>
          <w:numId w:val="1003"/>
        </w:numPr>
      </w:pPr>
      <w:r>
        <w:t xml:space="preserve">SC-23: Session Authenticity</w:t>
      </w:r>
    </w:p>
    <w:p>
      <w:pPr>
        <w:pStyle w:val="FirstParagraph"/>
      </w:pPr>
      <w:r>
        <w:rPr>
          <w:bCs/>
          <w:b/>
        </w:rPr>
        <w:t xml:space="preserve">KSI Category:</w:t>
      </w:r>
      <w:r>
        <w:t xml:space="preserve"> </w:t>
      </w:r>
      <w:r>
        <w:rPr>
          <w:rStyle w:val="VerbatimChar"/>
        </w:rPr>
        <w:t xml:space="preserve">KSI-SVC</w:t>
      </w:r>
      <w:r>
        <w:br/>
      </w:r>
      <w:r>
        <w:rPr>
          <w:bCs/>
          <w:b/>
        </w:rPr>
        <w:t xml:space="preserve">Evidence Method:</w:t>
      </w:r>
      <w:r>
        <w:t xml:space="preserve"> </w:t>
      </w:r>
      <w:r>
        <w:t xml:space="preserve">Catalyst SD-WAN mTLS Configuration and IPFIX Flow Logs</w:t>
      </w:r>
    </w:p>
    <w:p>
      <w:pPr>
        <w:pStyle w:val="BlockText"/>
      </w:pPr>
      <w:r>
        <w:rPr>
          <w:bCs/>
          <w:b/>
        </w:rPr>
        <w:t xml:space="preserve">CISA Directive Compliance:</w:t>
      </w:r>
      <w:r>
        <w:t xml:space="preserve"> </w:t>
      </w:r>
      <w:r>
        <w:t xml:space="preserve">ED 26-03 — CVE-2026-20127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Patched (2026-02-28)</w:t>
      </w:r>
    </w:p>
    <w:p>
      <w:pPr>
        <w:pStyle w:val="FirstParagraph"/>
      </w:pPr>
      <w:r>
        <w:rPr>
          <w:bCs/>
          <w:b/>
        </w:rPr>
        <w:t xml:space="preserve">Hardening Guide:</w:t>
      </w:r>
      <w:r>
        <w:t xml:space="preserve"> </w:t>
      </w:r>
      <w:hyperlink r:id="rId24">
        <w:r>
          <w:rPr>
            <w:rStyle w:val="Hyperlink"/>
          </w:rPr>
          <w:t xml:space="preserve">Vendor Hardening Documentation</w:t>
        </w:r>
      </w:hyperlink>
    </w:p>
    <w:p>
      <w:pPr>
        <w:pStyle w:val="BodyText"/>
      </w:pPr>
      <w:r>
        <w:rPr>
          <w:bCs/>
          <w:b/>
        </w:rPr>
        <w:t xml:space="preserve">Documentation:</w:t>
      </w:r>
      <w:r>
        <w:t xml:space="preserve"> </w:t>
      </w:r>
      <w:hyperlink r:id="rId25">
        <w:r>
          <w:rPr>
            <w:rStyle w:val="Hyperlink"/>
          </w:rPr>
          <w:t xml:space="preserve">Cisco Technical Docs</w:t>
        </w:r>
      </w:hyperlink>
    </w:p>
    <w:bookmarkEnd w:id="26"/>
    <w:bookmarkStart w:id="28" w:name="X0329e23a208b0f2df93b09fa9e208cf8797c2bf"/>
    <w:p>
      <w:pPr>
        <w:pStyle w:val="Heading3"/>
      </w:pPr>
      <w:r>
        <w:t xml:space="preserve">3.3. Microsoft — Entra ID + Informed Network Routing (INR)</w:t>
      </w:r>
    </w:p>
    <w:p>
      <w:pPr>
        <w:pStyle w:val="FirstParagraph"/>
      </w:pPr>
      <w:r>
        <w:rPr>
          <w:bCs/>
          <w:b/>
        </w:rPr>
        <w:t xml:space="preserve">UIAO Pillar:</w:t>
      </w:r>
      <w:r>
        <w:t xml:space="preserve"> </w:t>
      </w:r>
      <w:r>
        <w:t xml:space="preserve">Identity (U)</w:t>
      </w:r>
      <w:r>
        <w:br/>
      </w:r>
      <w:r>
        <w:rPr>
          <w:bCs/>
          <w:b/>
        </w:rPr>
        <w:t xml:space="preserve">Role:</w:t>
      </w:r>
      <w:r>
        <w:t xml:space="preserve"> </w:t>
      </w:r>
      <w:r>
        <w:t xml:space="preserve">Identity Provider and Network Telemetry Attribution</w:t>
      </w:r>
      <w:r>
        <w:br/>
      </w:r>
      <w:r>
        <w:rPr>
          <w:bCs/>
          <w:b/>
        </w:rPr>
        <w:t xml:space="preserve">FedRAMP Certification:</w:t>
      </w:r>
      <w:r>
        <w:t xml:space="preserve"> </w:t>
      </w:r>
      <w:r>
        <w:t xml:space="preserve">Class C (FR1612345678)</w:t>
      </w:r>
      <w:r>
        <w:br/>
      </w:r>
      <w:r>
        <w:rPr>
          <w:bCs/>
          <w:b/>
        </w:rPr>
        <w:t xml:space="preserve">Authorization Status:</w:t>
      </w:r>
      <w:r>
        <w:t xml:space="preserve"> </w:t>
      </w:r>
      <w:r>
        <w:t xml:space="preserve">Authorized</w:t>
      </w:r>
    </w:p>
    <w:p>
      <w:pPr>
        <w:pStyle w:val="BodyText"/>
      </w:pPr>
      <w:r>
        <w:rPr>
          <w:bCs/>
          <w:b/>
        </w:rPr>
        <w:t xml:space="preserve">NIST 800-53 Controls:</w:t>
      </w:r>
    </w:p>
    <w:p>
      <w:pPr>
        <w:numPr>
          <w:ilvl w:val="0"/>
          <w:numId w:val="1004"/>
        </w:numPr>
      </w:pPr>
      <w:r>
        <w:t xml:space="preserve">IA-2: Identification and Authentication</w:t>
      </w:r>
    </w:p>
    <w:p>
      <w:pPr>
        <w:numPr>
          <w:ilvl w:val="0"/>
          <w:numId w:val="1004"/>
        </w:numPr>
      </w:pPr>
      <w:r>
        <w:t xml:space="preserve">IA-5: Authenticator Management</w:t>
      </w:r>
    </w:p>
    <w:p>
      <w:pPr>
        <w:numPr>
          <w:ilvl w:val="0"/>
          <w:numId w:val="1004"/>
        </w:numPr>
      </w:pPr>
      <w:r>
        <w:t xml:space="preserve">CA-7: Continuous Monitoring</w:t>
      </w:r>
    </w:p>
    <w:p>
      <w:pPr>
        <w:pStyle w:val="FirstParagraph"/>
      </w:pPr>
      <w:r>
        <w:rPr>
          <w:bCs/>
          <w:b/>
        </w:rPr>
        <w:t xml:space="preserve">KSI Category:</w:t>
      </w:r>
      <w:r>
        <w:t xml:space="preserve"> </w:t>
      </w:r>
      <w:r>
        <w:rPr>
          <w:rStyle w:val="VerbatimChar"/>
        </w:rPr>
        <w:t xml:space="preserve">KSI-IAM</w:t>
      </w:r>
      <w:r>
        <w:br/>
      </w:r>
      <w:r>
        <w:rPr>
          <w:bCs/>
          <w:b/>
        </w:rPr>
        <w:t xml:space="preserve">Evidence Method:</w:t>
      </w:r>
      <w:r>
        <w:t xml:space="preserve"> </w:t>
      </w:r>
      <w:r>
        <w:t xml:space="preserve">Entra ID Conditional Access Logs and INR Telemetry Feed</w:t>
      </w:r>
    </w:p>
    <w:p>
      <w:pPr>
        <w:pStyle w:val="BodyText"/>
      </w:pPr>
      <w:r>
        <w:rPr>
          <w:bCs/>
          <w:b/>
        </w:rPr>
        <w:t xml:space="preserve">Supported Authentication Methods:</w:t>
      </w:r>
    </w:p>
    <w:p>
      <w:pPr>
        <w:numPr>
          <w:ilvl w:val="0"/>
          <w:numId w:val="1005"/>
        </w:numPr>
      </w:pPr>
      <w:r>
        <w:t xml:space="preserve">Phishing-Resistant MFA (FIDO2)</w:t>
      </w:r>
    </w:p>
    <w:p>
      <w:pPr>
        <w:numPr>
          <w:ilvl w:val="0"/>
          <w:numId w:val="1005"/>
        </w:numPr>
      </w:pPr>
      <w:r>
        <w:t xml:space="preserve">PIV/CAC Smart Card</w:t>
      </w:r>
    </w:p>
    <w:p>
      <w:pPr>
        <w:numPr>
          <w:ilvl w:val="0"/>
          <w:numId w:val="1005"/>
        </w:numPr>
      </w:pPr>
      <w:r>
        <w:t xml:space="preserve">Certificate-Based Authentication (CBA)</w:t>
      </w:r>
    </w:p>
    <w:p>
      <w:pPr>
        <w:pStyle w:val="FirstParagraph"/>
      </w:pPr>
      <w:r>
        <w:rPr>
          <w:bCs/>
          <w:b/>
        </w:rPr>
        <w:t xml:space="preserve">Documentation:</w:t>
      </w:r>
      <w:r>
        <w:t xml:space="preserve"> </w:t>
      </w:r>
      <w:hyperlink r:id="rId27">
        <w:r>
          <w:rPr>
            <w:rStyle w:val="Hyperlink"/>
          </w:rPr>
          <w:t xml:space="preserve">Microsoft Technical Docs</w:t>
        </w:r>
      </w:hyperlink>
    </w:p>
    <w:bookmarkEnd w:id="28"/>
    <w:bookmarkStart w:id="30" w:name="microsoft-intune-endpoint-management"/>
    <w:p>
      <w:pPr>
        <w:pStyle w:val="Heading3"/>
      </w:pPr>
      <w:r>
        <w:t xml:space="preserve">3.4. Microsoft — Intune Endpoint Management</w:t>
      </w:r>
    </w:p>
    <w:p>
      <w:pPr>
        <w:pStyle w:val="FirstParagraph"/>
      </w:pPr>
      <w:r>
        <w:rPr>
          <w:bCs/>
          <w:b/>
        </w:rPr>
        <w:t xml:space="preserve">UIAO Pillar:</w:t>
      </w:r>
      <w:r>
        <w:t xml:space="preserve"> </w:t>
      </w:r>
      <w:r>
        <w:t xml:space="preserve">Identity (U) - Device Compliance</w:t>
      </w:r>
      <w:r>
        <w:br/>
      </w:r>
      <w:r>
        <w:rPr>
          <w:bCs/>
          <w:b/>
        </w:rPr>
        <w:t xml:space="preserve">Role:</w:t>
      </w:r>
      <w:r>
        <w:t xml:space="preserve"> </w:t>
      </w:r>
      <w:r>
        <w:t xml:space="preserve">Endpoint Management, Device Compliance Enforcement, and Configuration Baseline Deployment</w:t>
      </w:r>
      <w:r>
        <w:br/>
      </w:r>
      <w:r>
        <w:rPr>
          <w:bCs/>
          <w:b/>
        </w:rPr>
        <w:t xml:space="preserve">FedRAMP Certification:</w:t>
      </w:r>
      <w:r>
        <w:t xml:space="preserve"> </w:t>
      </w:r>
      <w:r>
        <w:t xml:space="preserve">Class C (FR1612345678)</w:t>
      </w:r>
      <w:r>
        <w:br/>
      </w:r>
      <w:r>
        <w:rPr>
          <w:bCs/>
          <w:b/>
        </w:rPr>
        <w:t xml:space="preserve">Authorization Status:</w:t>
      </w:r>
      <w:r>
        <w:t xml:space="preserve"> </w:t>
      </w:r>
      <w:r>
        <w:t xml:space="preserve">Authorized</w:t>
      </w:r>
    </w:p>
    <w:p>
      <w:pPr>
        <w:pStyle w:val="BodyText"/>
      </w:pPr>
      <w:r>
        <w:rPr>
          <w:bCs/>
          <w:b/>
        </w:rPr>
        <w:t xml:space="preserve">NIST 800-53 Controls:</w:t>
      </w:r>
    </w:p>
    <w:p>
      <w:pPr>
        <w:numPr>
          <w:ilvl w:val="0"/>
          <w:numId w:val="1006"/>
        </w:numPr>
      </w:pPr>
      <w:r>
        <w:t xml:space="preserve">CM-2: Baseline Configuration</w:t>
      </w:r>
    </w:p>
    <w:p>
      <w:pPr>
        <w:numPr>
          <w:ilvl w:val="0"/>
          <w:numId w:val="1006"/>
        </w:numPr>
      </w:pPr>
      <w:r>
        <w:t xml:space="preserve">CM-6: Configuration Settings</w:t>
      </w:r>
    </w:p>
    <w:p>
      <w:pPr>
        <w:numPr>
          <w:ilvl w:val="0"/>
          <w:numId w:val="1006"/>
        </w:numPr>
      </w:pPr>
      <w:r>
        <w:t xml:space="preserve">CM-8: System Component Inventory</w:t>
      </w:r>
    </w:p>
    <w:p>
      <w:pPr>
        <w:numPr>
          <w:ilvl w:val="0"/>
          <w:numId w:val="1006"/>
        </w:numPr>
      </w:pPr>
      <w:r>
        <w:t xml:space="preserve">IA-3: Device Identification and Authentication</w:t>
      </w:r>
    </w:p>
    <w:p>
      <w:pPr>
        <w:numPr>
          <w:ilvl w:val="0"/>
          <w:numId w:val="1006"/>
        </w:numPr>
      </w:pPr>
      <w:r>
        <w:t xml:space="preserve">SC-7: Boundary Protection (Device Compliance Gates)</w:t>
      </w:r>
    </w:p>
    <w:p>
      <w:pPr>
        <w:numPr>
          <w:ilvl w:val="0"/>
          <w:numId w:val="1006"/>
        </w:numPr>
      </w:pPr>
      <w:r>
        <w:t xml:space="preserve">SI-2: Flaw Remediation</w:t>
      </w:r>
    </w:p>
    <w:p>
      <w:pPr>
        <w:pStyle w:val="FirstParagraph"/>
      </w:pPr>
      <w:r>
        <w:rPr>
          <w:bCs/>
          <w:b/>
        </w:rPr>
        <w:t xml:space="preserve">KSI Category:</w:t>
      </w:r>
      <w:r>
        <w:t xml:space="preserve"> </w:t>
      </w:r>
      <w:r>
        <w:rPr>
          <w:rStyle w:val="VerbatimChar"/>
        </w:rPr>
        <w:t xml:space="preserve">KSI-IAM</w:t>
      </w:r>
      <w:r>
        <w:br/>
      </w:r>
      <w:r>
        <w:rPr>
          <w:bCs/>
          <w:b/>
        </w:rPr>
        <w:t xml:space="preserve">Evidence Method:</w:t>
      </w:r>
      <w:r>
        <w:t xml:space="preserve"> </w:t>
      </w:r>
      <w:r>
        <w:t xml:space="preserve">Intune Compliance Policy Audit Logs and Device Configuration Profiles</w:t>
      </w:r>
    </w:p>
    <w:p>
      <w:pPr>
        <w:pStyle w:val="BodyText"/>
      </w:pPr>
      <w:r>
        <w:rPr>
          <w:bCs/>
          <w:b/>
        </w:rPr>
        <w:t xml:space="preserve">Documentation:</w:t>
      </w:r>
      <w:r>
        <w:t xml:space="preserve"> </w:t>
      </w:r>
      <w:hyperlink r:id="rId29">
        <w:r>
          <w:rPr>
            <w:rStyle w:val="Hyperlink"/>
          </w:rPr>
          <w:t xml:space="preserve">Microsoft Technical Docs</w:t>
        </w:r>
      </w:hyperlink>
    </w:p>
    <w:bookmarkEnd w:id="30"/>
    <w:bookmarkStart w:id="32" w:name="microsoft-defender-for-endpoint-mde"/>
    <w:p>
      <w:pPr>
        <w:pStyle w:val="Heading3"/>
      </w:pPr>
      <w:r>
        <w:t xml:space="preserve">3.5. Microsoft — Defender for Endpoint (MDE)</w:t>
      </w:r>
    </w:p>
    <w:p>
      <w:pPr>
        <w:pStyle w:val="FirstParagraph"/>
      </w:pPr>
      <w:r>
        <w:rPr>
          <w:bCs/>
          <w:b/>
        </w:rPr>
        <w:t xml:space="preserve">UIAO Pillar:</w:t>
      </w:r>
      <w:r>
        <w:t xml:space="preserve"> </w:t>
      </w:r>
      <w:r>
        <w:t xml:space="preserve">Overlay (O) - Endpoint Detection</w:t>
      </w:r>
      <w:r>
        <w:br/>
      </w:r>
      <w:r>
        <w:rPr>
          <w:bCs/>
          <w:b/>
        </w:rPr>
        <w:t xml:space="preserve">Role:</w:t>
      </w:r>
      <w:r>
        <w:t xml:space="preserve"> </w:t>
      </w:r>
      <w:r>
        <w:t xml:space="preserve">Endpoint Detection and Response, Threat Intelligence, and Automated Investigation</w:t>
      </w:r>
      <w:r>
        <w:br/>
      </w:r>
      <w:r>
        <w:rPr>
          <w:bCs/>
          <w:b/>
        </w:rPr>
        <w:t xml:space="preserve">FedRAMP Certification:</w:t>
      </w:r>
      <w:r>
        <w:t xml:space="preserve"> </w:t>
      </w:r>
      <w:r>
        <w:t xml:space="preserve">Class C (FR1612345678)</w:t>
      </w:r>
      <w:r>
        <w:br/>
      </w:r>
      <w:r>
        <w:rPr>
          <w:bCs/>
          <w:b/>
        </w:rPr>
        <w:t xml:space="preserve">Authorization Status:</w:t>
      </w:r>
      <w:r>
        <w:t xml:space="preserve"> </w:t>
      </w:r>
      <w:r>
        <w:t xml:space="preserve">Authorized</w:t>
      </w:r>
    </w:p>
    <w:p>
      <w:pPr>
        <w:pStyle w:val="BodyText"/>
      </w:pPr>
      <w:r>
        <w:rPr>
          <w:bCs/>
          <w:b/>
        </w:rPr>
        <w:t xml:space="preserve">NIST 800-53 Controls:</w:t>
      </w:r>
    </w:p>
    <w:p>
      <w:pPr>
        <w:numPr>
          <w:ilvl w:val="0"/>
          <w:numId w:val="1007"/>
        </w:numPr>
      </w:pPr>
      <w:r>
        <w:t xml:space="preserve">SI-3: Malicious Code Protection</w:t>
      </w:r>
    </w:p>
    <w:p>
      <w:pPr>
        <w:numPr>
          <w:ilvl w:val="0"/>
          <w:numId w:val="1007"/>
        </w:numPr>
      </w:pPr>
      <w:r>
        <w:t xml:space="preserve">SI-4: System Monitoring</w:t>
      </w:r>
    </w:p>
    <w:p>
      <w:pPr>
        <w:numPr>
          <w:ilvl w:val="0"/>
          <w:numId w:val="1007"/>
        </w:numPr>
      </w:pPr>
      <w:r>
        <w:t xml:space="preserve">IR-4: Incident Handling</w:t>
      </w:r>
    </w:p>
    <w:p>
      <w:pPr>
        <w:numPr>
          <w:ilvl w:val="0"/>
          <w:numId w:val="1007"/>
        </w:numPr>
      </w:pPr>
      <w:r>
        <w:t xml:space="preserve">IR-5: Incident Monitoring</w:t>
      </w:r>
    </w:p>
    <w:p>
      <w:pPr>
        <w:numPr>
          <w:ilvl w:val="0"/>
          <w:numId w:val="1007"/>
        </w:numPr>
      </w:pPr>
      <w:r>
        <w:t xml:space="preserve">RA-5: Vulnerability Monitoring and Scanning</w:t>
      </w:r>
    </w:p>
    <w:p>
      <w:pPr>
        <w:numPr>
          <w:ilvl w:val="0"/>
          <w:numId w:val="1007"/>
        </w:numPr>
      </w:pPr>
      <w:r>
        <w:t xml:space="preserve">SC-7: Boundary Protection (Host-Based)</w:t>
      </w:r>
    </w:p>
    <w:p>
      <w:pPr>
        <w:pStyle w:val="FirstParagraph"/>
      </w:pPr>
      <w:r>
        <w:rPr>
          <w:bCs/>
          <w:b/>
        </w:rPr>
        <w:t xml:space="preserve">KSI Category:</w:t>
      </w:r>
      <w:r>
        <w:t xml:space="preserve"> </w:t>
      </w:r>
      <w:r>
        <w:rPr>
          <w:rStyle w:val="VerbatimChar"/>
        </w:rPr>
        <w:t xml:space="preserve">KSI-SVC</w:t>
      </w:r>
      <w:r>
        <w:br/>
      </w:r>
      <w:r>
        <w:rPr>
          <w:bCs/>
          <w:b/>
        </w:rPr>
        <w:t xml:space="preserve">Evidence Method:</w:t>
      </w:r>
      <w:r>
        <w:t xml:space="preserve"> </w:t>
      </w:r>
      <w:r>
        <w:t xml:space="preserve">MDE Advanced Hunting Logs and Automated Investigation Audit Trail</w:t>
      </w:r>
    </w:p>
    <w:p>
      <w:pPr>
        <w:pStyle w:val="BodyText"/>
      </w:pPr>
      <w:r>
        <w:rPr>
          <w:bCs/>
          <w:b/>
        </w:rPr>
        <w:t xml:space="preserve">Documentation:</w:t>
      </w:r>
      <w:r>
        <w:t xml:space="preserve"> </w:t>
      </w:r>
      <w:hyperlink r:id="rId31">
        <w:r>
          <w:rPr>
            <w:rStyle w:val="Hyperlink"/>
          </w:rPr>
          <w:t xml:space="preserve">Microsoft Technical Docs</w:t>
        </w:r>
      </w:hyperlink>
    </w:p>
    <w:bookmarkEnd w:id="32"/>
    <w:bookmarkStart w:id="34" w:name="microsoft-sentinel-siemsoar"/>
    <w:p>
      <w:pPr>
        <w:pStyle w:val="Heading3"/>
      </w:pPr>
      <w:r>
        <w:t xml:space="preserve">3.6. Microsoft — Sentinel SIEM/SOAR</w:t>
      </w:r>
    </w:p>
    <w:p>
      <w:pPr>
        <w:pStyle w:val="FirstParagraph"/>
      </w:pPr>
      <w:r>
        <w:rPr>
          <w:bCs/>
          <w:b/>
        </w:rPr>
        <w:t xml:space="preserve">UIAO Pillar:</w:t>
      </w:r>
      <w:r>
        <w:t xml:space="preserve"> </w:t>
      </w:r>
      <w:r>
        <w:t xml:space="preserve">Governance (G) - Security Operations</w:t>
      </w:r>
      <w:r>
        <w:br/>
      </w:r>
      <w:r>
        <w:rPr>
          <w:bCs/>
          <w:b/>
        </w:rPr>
        <w:t xml:space="preserve">Role:</w:t>
      </w:r>
      <w:r>
        <w:t xml:space="preserve"> </w:t>
      </w:r>
      <w:r>
        <w:t xml:space="preserve">Cloud-Native SIEM, Security Orchestration, Automated Response, and Continuous Monitoring</w:t>
      </w:r>
      <w:r>
        <w:br/>
      </w:r>
      <w:r>
        <w:rPr>
          <w:bCs/>
          <w:b/>
        </w:rPr>
        <w:t xml:space="preserve">FedRAMP Certification:</w:t>
      </w:r>
      <w:r>
        <w:t xml:space="preserve"> </w:t>
      </w:r>
      <w:r>
        <w:t xml:space="preserve">Class C (FR1612345678)</w:t>
      </w:r>
      <w:r>
        <w:br/>
      </w:r>
      <w:r>
        <w:rPr>
          <w:bCs/>
          <w:b/>
        </w:rPr>
        <w:t xml:space="preserve">Authorization Status:</w:t>
      </w:r>
      <w:r>
        <w:t xml:space="preserve"> </w:t>
      </w:r>
      <w:r>
        <w:t xml:space="preserve">Authorized</w:t>
      </w:r>
    </w:p>
    <w:p>
      <w:pPr>
        <w:pStyle w:val="BodyText"/>
      </w:pPr>
      <w:r>
        <w:rPr>
          <w:bCs/>
          <w:b/>
        </w:rPr>
        <w:t xml:space="preserve">NIST 800-53 Controls:</w:t>
      </w:r>
    </w:p>
    <w:p>
      <w:pPr>
        <w:numPr>
          <w:ilvl w:val="0"/>
          <w:numId w:val="1008"/>
        </w:numPr>
      </w:pPr>
      <w:r>
        <w:t xml:space="preserve">AU-6: Audit Record Review, Analysis, and Reporting</w:t>
      </w:r>
    </w:p>
    <w:p>
      <w:pPr>
        <w:numPr>
          <w:ilvl w:val="0"/>
          <w:numId w:val="1008"/>
        </w:numPr>
      </w:pPr>
      <w:r>
        <w:t xml:space="preserve">AU-12: Audit Record Generation</w:t>
      </w:r>
    </w:p>
    <w:p>
      <w:pPr>
        <w:numPr>
          <w:ilvl w:val="0"/>
          <w:numId w:val="1008"/>
        </w:numPr>
      </w:pPr>
      <w:r>
        <w:t xml:space="preserve">SI-4: System Monitoring</w:t>
      </w:r>
    </w:p>
    <w:p>
      <w:pPr>
        <w:numPr>
          <w:ilvl w:val="0"/>
          <w:numId w:val="1008"/>
        </w:numPr>
      </w:pPr>
      <w:r>
        <w:t xml:space="preserve">IR-4: Incident Handling</w:t>
      </w:r>
    </w:p>
    <w:p>
      <w:pPr>
        <w:numPr>
          <w:ilvl w:val="0"/>
          <w:numId w:val="1008"/>
        </w:numPr>
      </w:pPr>
      <w:r>
        <w:t xml:space="preserve">IR-5: Incident Monitoring</w:t>
      </w:r>
    </w:p>
    <w:p>
      <w:pPr>
        <w:numPr>
          <w:ilvl w:val="0"/>
          <w:numId w:val="1008"/>
        </w:numPr>
      </w:pPr>
      <w:r>
        <w:t xml:space="preserve">IR-6: Incident Reporting</w:t>
      </w:r>
    </w:p>
    <w:p>
      <w:pPr>
        <w:numPr>
          <w:ilvl w:val="0"/>
          <w:numId w:val="1008"/>
        </w:numPr>
      </w:pPr>
      <w:r>
        <w:t xml:space="preserve">CA-7: Continuous Monitoring</w:t>
      </w:r>
    </w:p>
    <w:p>
      <w:pPr>
        <w:pStyle w:val="FirstParagraph"/>
      </w:pPr>
      <w:r>
        <w:rPr>
          <w:bCs/>
          <w:b/>
        </w:rPr>
        <w:t xml:space="preserve">KSI Category:</w:t>
      </w:r>
      <w:r>
        <w:t xml:space="preserve"> </w:t>
      </w:r>
      <w:r>
        <w:rPr>
          <w:rStyle w:val="VerbatimChar"/>
        </w:rPr>
        <w:t xml:space="preserve">KSI-GOV</w:t>
      </w:r>
      <w:r>
        <w:br/>
      </w:r>
      <w:r>
        <w:rPr>
          <w:bCs/>
          <w:b/>
        </w:rPr>
        <w:t xml:space="preserve">Evidence Method:</w:t>
      </w:r>
      <w:r>
        <w:t xml:space="preserve"> </w:t>
      </w:r>
      <w:r>
        <w:t xml:space="preserve">Sentinel Analytics Rules, Incident Logs, and Playbook Execution Audit Trail</w:t>
      </w:r>
    </w:p>
    <w:p>
      <w:pPr>
        <w:pStyle w:val="BodyText"/>
      </w:pPr>
      <w:r>
        <w:rPr>
          <w:bCs/>
          <w:b/>
        </w:rPr>
        <w:t xml:space="preserve">Documentation:</w:t>
      </w:r>
      <w:r>
        <w:t xml:space="preserve"> </w:t>
      </w:r>
      <w:hyperlink r:id="rId33">
        <w:r>
          <w:rPr>
            <w:rStyle w:val="Hyperlink"/>
          </w:rPr>
          <w:t xml:space="preserve">Microsoft Technical Docs</w:t>
        </w:r>
      </w:hyperlink>
    </w:p>
    <w:bookmarkEnd w:id="34"/>
    <w:bookmarkStart w:id="35" w:name="X883c33a0d5ecdacc701708522349e1b0f5e7fa3"/>
    <w:p>
      <w:pPr>
        <w:pStyle w:val="Heading3"/>
      </w:pPr>
      <w:r>
        <w:t xml:space="preserve">3.7. Palo Alto Networks — Next-Generation Firewall (NGFW)</w:t>
      </w:r>
    </w:p>
    <w:p>
      <w:pPr>
        <w:pStyle w:val="FirstParagraph"/>
      </w:pPr>
      <w:r>
        <w:rPr>
          <w:bCs/>
          <w:b/>
        </w:rPr>
        <w:t xml:space="preserve">UIAO Pillar:</w:t>
      </w:r>
      <w:r>
        <w:t xml:space="preserve"> </w:t>
      </w:r>
      <w:r>
        <w:t xml:space="preserve">Overlay (O) - Security Inspection</w:t>
      </w:r>
      <w:r>
        <w:br/>
      </w:r>
      <w:r>
        <w:rPr>
          <w:bCs/>
          <w:b/>
        </w:rPr>
        <w:t xml:space="preserve">Role:</w:t>
      </w:r>
      <w:r>
        <w:t xml:space="preserve"> </w:t>
      </w:r>
      <w:r>
        <w:t xml:space="preserve">Deep Packet Inspection within SD-WAN Service Chain</w:t>
      </w:r>
      <w:r>
        <w:br/>
      </w:r>
      <w:r>
        <w:rPr>
          <w:bCs/>
          <w:b/>
        </w:rPr>
        <w:t xml:space="preserve">FedRAMP Certification:</w:t>
      </w:r>
      <w:r>
        <w:t xml:space="preserve"> </w:t>
      </w:r>
      <w:r>
        <w:t xml:space="preserve">Class C (FR1905678901)</w:t>
      </w:r>
      <w:r>
        <w:br/>
      </w:r>
      <w:r>
        <w:rPr>
          <w:bCs/>
          <w:b/>
        </w:rPr>
        <w:t xml:space="preserve">Authorization Status:</w:t>
      </w:r>
      <w:r>
        <w:t xml:space="preserve"> </w:t>
      </w:r>
      <w:r>
        <w:t xml:space="preserve">Authorized</w:t>
      </w:r>
    </w:p>
    <w:p>
      <w:pPr>
        <w:pStyle w:val="BodyText"/>
      </w:pPr>
      <w:r>
        <w:rPr>
          <w:bCs/>
          <w:b/>
        </w:rPr>
        <w:t xml:space="preserve">NIST 800-53 Controls:</w:t>
      </w:r>
    </w:p>
    <w:p>
      <w:pPr>
        <w:numPr>
          <w:ilvl w:val="0"/>
          <w:numId w:val="1009"/>
        </w:numPr>
      </w:pPr>
      <w:r>
        <w:t xml:space="preserve">SC-7: Boundary Protection</w:t>
      </w:r>
    </w:p>
    <w:p>
      <w:pPr>
        <w:numPr>
          <w:ilvl w:val="0"/>
          <w:numId w:val="1009"/>
        </w:numPr>
      </w:pPr>
      <w:r>
        <w:t xml:space="preserve">SI-4: System Monitoring</w:t>
      </w:r>
    </w:p>
    <w:p>
      <w:pPr>
        <w:pStyle w:val="FirstParagraph"/>
      </w:pPr>
      <w:r>
        <w:rPr>
          <w:bCs/>
          <w:b/>
        </w:rPr>
        <w:t xml:space="preserve">KSI Category:</w:t>
      </w:r>
      <w:r>
        <w:t xml:space="preserve"> </w:t>
      </w:r>
      <w:r>
        <w:rPr>
          <w:rStyle w:val="VerbatimChar"/>
        </w:rPr>
        <w:t xml:space="preserve">KSI-SVC</w:t>
      </w:r>
      <w:r>
        <w:br/>
      </w:r>
      <w:r>
        <w:rPr>
          <w:bCs/>
          <w:b/>
        </w:rPr>
        <w:t xml:space="preserve">Evidence Method:</w:t>
      </w:r>
      <w:r>
        <w:t xml:space="preserve"> </w:t>
      </w:r>
      <w:r>
        <w:t xml:space="preserve">NGFW Threat Prevention Logs via Panorama API</w:t>
      </w:r>
    </w:p>
    <w:bookmarkEnd w:id="35"/>
    <w:bookmarkStart w:id="36" w:name="cyberark-privileged-access-management"/>
    <w:p>
      <w:pPr>
        <w:pStyle w:val="Heading3"/>
      </w:pPr>
      <w:r>
        <w:t xml:space="preserve">3.8. CyberArk — Privileged Access Management</w:t>
      </w:r>
    </w:p>
    <w:p>
      <w:pPr>
        <w:pStyle w:val="FirstParagraph"/>
      </w:pPr>
      <w:r>
        <w:rPr>
          <w:bCs/>
          <w:b/>
        </w:rPr>
        <w:t xml:space="preserve">UIAO Pillar:</w:t>
      </w:r>
      <w:r>
        <w:t xml:space="preserve"> </w:t>
      </w:r>
      <w:r>
        <w:t xml:space="preserve">Identity (U) - Privileged Access</w:t>
      </w:r>
      <w:r>
        <w:br/>
      </w:r>
      <w:r>
        <w:rPr>
          <w:bCs/>
          <w:b/>
        </w:rPr>
        <w:t xml:space="preserve">Role:</w:t>
      </w:r>
      <w:r>
        <w:t xml:space="preserve"> </w:t>
      </w:r>
      <w:r>
        <w:t xml:space="preserve">Privileged Identity Lifecycle and Session Recording</w:t>
      </w:r>
      <w:r>
        <w:br/>
      </w:r>
      <w:r>
        <w:rPr>
          <w:bCs/>
          <w:b/>
        </w:rPr>
        <w:t xml:space="preserve">FedRAMP Certification:</w:t>
      </w:r>
      <w:r>
        <w:t xml:space="preserve"> </w:t>
      </w:r>
      <w:r>
        <w:t xml:space="preserve">Class C</w:t>
      </w:r>
      <w:r>
        <w:br/>
      </w:r>
      <w:r>
        <w:rPr>
          <w:bCs/>
          <w:b/>
        </w:rPr>
        <w:t xml:space="preserve">Authorization Status:</w:t>
      </w:r>
      <w:r>
        <w:t xml:space="preserve"> </w:t>
      </w:r>
      <w:r>
        <w:t xml:space="preserve">Authorized</w:t>
      </w:r>
    </w:p>
    <w:p>
      <w:pPr>
        <w:pStyle w:val="BodyText"/>
      </w:pPr>
      <w:r>
        <w:rPr>
          <w:bCs/>
          <w:b/>
        </w:rPr>
        <w:t xml:space="preserve">NIST 800-53 Controls:</w:t>
      </w:r>
    </w:p>
    <w:p>
      <w:pPr>
        <w:numPr>
          <w:ilvl w:val="0"/>
          <w:numId w:val="1010"/>
        </w:numPr>
      </w:pPr>
      <w:r>
        <w:t xml:space="preserve">AC-6: Least Privilege</w:t>
      </w:r>
    </w:p>
    <w:p>
      <w:pPr>
        <w:numPr>
          <w:ilvl w:val="0"/>
          <w:numId w:val="1010"/>
        </w:numPr>
      </w:pPr>
      <w:r>
        <w:t xml:space="preserve">AU-10: Non-Repudiation</w:t>
      </w:r>
    </w:p>
    <w:p>
      <w:pPr>
        <w:pStyle w:val="FirstParagraph"/>
      </w:pPr>
      <w:r>
        <w:rPr>
          <w:bCs/>
          <w:b/>
        </w:rPr>
        <w:t xml:space="preserve">KSI Category:</w:t>
      </w:r>
      <w:r>
        <w:t xml:space="preserve"> </w:t>
      </w:r>
      <w:r>
        <w:rPr>
          <w:rStyle w:val="VerbatimChar"/>
        </w:rPr>
        <w:t xml:space="preserve">KSI-IAM</w:t>
      </w:r>
      <w:r>
        <w:br/>
      </w:r>
      <w:r>
        <w:rPr>
          <w:bCs/>
          <w:b/>
        </w:rPr>
        <w:t xml:space="preserve">Evidence Method:</w:t>
      </w:r>
      <w:r>
        <w:t xml:space="preserve"> </w:t>
      </w:r>
      <w:r>
        <w:t xml:space="preserve">CyberArk Session Audit Logs</w:t>
      </w:r>
    </w:p>
    <w:bookmarkEnd w:id="36"/>
    <w:bookmarkStart w:id="38" w:name="Xcef656a56f525c8ad5ae16e5517b3f9b5f7e800"/>
    <w:p>
      <w:pPr>
        <w:pStyle w:val="Heading3"/>
      </w:pPr>
      <w:r>
        <w:t xml:space="preserve">3.9. ServiceNow — IT Service Management (ITSM) + GRC</w:t>
      </w:r>
    </w:p>
    <w:p>
      <w:pPr>
        <w:pStyle w:val="FirstParagraph"/>
      </w:pPr>
      <w:r>
        <w:rPr>
          <w:bCs/>
          <w:b/>
        </w:rPr>
        <w:t xml:space="preserve">UIAO Pillar:</w:t>
      </w:r>
      <w:r>
        <w:t xml:space="preserve"> </w:t>
      </w:r>
      <w:r>
        <w:t xml:space="preserve">Governance (G)</w:t>
      </w:r>
      <w:r>
        <w:br/>
      </w:r>
      <w:r>
        <w:rPr>
          <w:bCs/>
          <w:b/>
        </w:rPr>
        <w:t xml:space="preserve">Role:</w:t>
      </w:r>
      <w:r>
        <w:t xml:space="preserve"> </w:t>
      </w:r>
      <w:r>
        <w:t xml:space="preserve">IT Service Management, Incident Response, and Continuous Authorization Support</w:t>
      </w:r>
      <w:r>
        <w:br/>
      </w:r>
      <w:r>
        <w:rPr>
          <w:bCs/>
          <w:b/>
        </w:rPr>
        <w:t xml:space="preserve">FedRAMP Certification:</w:t>
      </w:r>
      <w:r>
        <w:t xml:space="preserve"> </w:t>
      </w:r>
      <w:r>
        <w:t xml:space="preserve">Class C (FR1710155498)</w:t>
      </w:r>
      <w:r>
        <w:br/>
      </w:r>
      <w:r>
        <w:rPr>
          <w:bCs/>
          <w:b/>
        </w:rPr>
        <w:t xml:space="preserve">Authorization Status:</w:t>
      </w:r>
      <w:r>
        <w:t xml:space="preserve"> </w:t>
      </w:r>
      <w:r>
        <w:t xml:space="preserve">Authorized</w:t>
      </w:r>
    </w:p>
    <w:p>
      <w:pPr>
        <w:pStyle w:val="BodyText"/>
      </w:pPr>
      <w:r>
        <w:rPr>
          <w:bCs/>
          <w:b/>
        </w:rPr>
        <w:t xml:space="preserve">NIST 800-53 Controls:</w:t>
      </w:r>
    </w:p>
    <w:p>
      <w:pPr>
        <w:numPr>
          <w:ilvl w:val="0"/>
          <w:numId w:val="1011"/>
        </w:numPr>
      </w:pPr>
      <w:r>
        <w:t xml:space="preserve">IR-4: Incident Handling</w:t>
      </w:r>
    </w:p>
    <w:p>
      <w:pPr>
        <w:numPr>
          <w:ilvl w:val="0"/>
          <w:numId w:val="1011"/>
        </w:numPr>
      </w:pPr>
      <w:r>
        <w:t xml:space="preserve">IR-5: Incident Monitoring</w:t>
      </w:r>
    </w:p>
    <w:p>
      <w:pPr>
        <w:numPr>
          <w:ilvl w:val="0"/>
          <w:numId w:val="1011"/>
        </w:numPr>
      </w:pPr>
      <w:r>
        <w:t xml:space="preserve">IR-6: Incident Reporting</w:t>
      </w:r>
    </w:p>
    <w:p>
      <w:pPr>
        <w:numPr>
          <w:ilvl w:val="0"/>
          <w:numId w:val="1011"/>
        </w:numPr>
      </w:pPr>
      <w:r>
        <w:t xml:space="preserve">SI-4: System Monitoring</w:t>
      </w:r>
    </w:p>
    <w:p>
      <w:pPr>
        <w:numPr>
          <w:ilvl w:val="0"/>
          <w:numId w:val="1011"/>
        </w:numPr>
      </w:pPr>
      <w:r>
        <w:t xml:space="preserve">CA-7: Continuous Monitoring</w:t>
      </w:r>
    </w:p>
    <w:p>
      <w:pPr>
        <w:numPr>
          <w:ilvl w:val="0"/>
          <w:numId w:val="1011"/>
        </w:numPr>
      </w:pPr>
      <w:r>
        <w:t xml:space="preserve">SA-9: External System Services</w:t>
      </w:r>
    </w:p>
    <w:p>
      <w:pPr>
        <w:pStyle w:val="FirstParagraph"/>
      </w:pPr>
      <w:r>
        <w:rPr>
          <w:bCs/>
          <w:b/>
        </w:rPr>
        <w:t xml:space="preserve">KSI Category:</w:t>
      </w:r>
      <w:r>
        <w:t xml:space="preserve"> </w:t>
      </w:r>
      <w:r>
        <w:rPr>
          <w:rStyle w:val="VerbatimChar"/>
        </w:rPr>
        <w:t xml:space="preserve">KSI-GOV</w:t>
      </w:r>
      <w:r>
        <w:br/>
      </w:r>
      <w:r>
        <w:rPr>
          <w:bCs/>
          <w:b/>
        </w:rPr>
        <w:t xml:space="preserve">Evidence Method:</w:t>
      </w:r>
      <w:r>
        <w:t xml:space="preserve"> </w:t>
      </w:r>
      <w:r>
        <w:t xml:space="preserve">ServiceNow CMDB + Incident/Change Audit Trail</w:t>
      </w:r>
    </w:p>
    <w:p>
      <w:pPr>
        <w:pStyle w:val="BlockText"/>
      </w:pPr>
      <w:r>
        <w:rPr>
          <w:bCs/>
          <w:b/>
        </w:rPr>
        <w:t xml:space="preserve">CISA Directive Compliance:</w:t>
      </w:r>
      <w:r>
        <w:t xml:space="preserve"> </w:t>
      </w:r>
      <w:r>
        <w:t xml:space="preserve">—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()</w:t>
      </w:r>
    </w:p>
    <w:p>
      <w:pPr>
        <w:pStyle w:val="FirstParagraph"/>
      </w:pPr>
      <w:r>
        <w:rPr>
          <w:bCs/>
          <w:b/>
        </w:rPr>
        <w:t xml:space="preserve">Documentation:</w:t>
      </w:r>
      <w:r>
        <w:t xml:space="preserve"> </w:t>
      </w:r>
      <w:hyperlink r:id="rId37">
        <w:r>
          <w:rPr>
            <w:rStyle w:val="Hyperlink"/>
          </w:rPr>
          <w:t xml:space="preserve">ServiceNow Technical Docs</w:t>
        </w:r>
      </w:hyperlink>
    </w:p>
    <w:bookmarkEnd w:id="38"/>
    <w:bookmarkStart w:id="40" w:name="splunk-splunk-enterprise-govcloud"/>
    <w:p>
      <w:pPr>
        <w:pStyle w:val="Heading3"/>
      </w:pPr>
      <w:r>
        <w:t xml:space="preserve">3.10. Splunk — Splunk Enterprise (GovCloud)</w:t>
      </w:r>
    </w:p>
    <w:p>
      <w:pPr>
        <w:pStyle w:val="FirstParagraph"/>
      </w:pPr>
      <w:r>
        <w:rPr>
          <w:bCs/>
          <w:b/>
        </w:rPr>
        <w:t xml:space="preserve">UIAO Pillar:</w:t>
      </w:r>
      <w:r>
        <w:t xml:space="preserve"> </w:t>
      </w:r>
      <w:r>
        <w:t xml:space="preserve">Governance (G) - Log Analytics</w:t>
      </w:r>
      <w:r>
        <w:br/>
      </w:r>
      <w:r>
        <w:rPr>
          <w:bCs/>
          <w:b/>
        </w:rPr>
        <w:t xml:space="preserve">Role:</w:t>
      </w:r>
      <w:r>
        <w:t xml:space="preserve"> </w:t>
      </w:r>
      <w:r>
        <w:t xml:space="preserve">Operational Log Aggregation, Search Analytics, and Compliance Reporting</w:t>
      </w:r>
      <w:r>
        <w:br/>
      </w:r>
      <w:r>
        <w:rPr>
          <w:bCs/>
          <w:b/>
        </w:rPr>
        <w:t xml:space="preserve">FedRAMP Certification:</w:t>
      </w:r>
      <w:r>
        <w:t xml:space="preserve"> </w:t>
      </w:r>
      <w:r>
        <w:t xml:space="preserve">Class C (FR2009876543)</w:t>
      </w:r>
      <w:r>
        <w:br/>
      </w:r>
      <w:r>
        <w:rPr>
          <w:bCs/>
          <w:b/>
        </w:rPr>
        <w:t xml:space="preserve">Authorization Status:</w:t>
      </w:r>
      <w:r>
        <w:t xml:space="preserve"> </w:t>
      </w:r>
      <w:r>
        <w:t xml:space="preserve">Authorized</w:t>
      </w:r>
    </w:p>
    <w:p>
      <w:pPr>
        <w:pStyle w:val="BodyText"/>
      </w:pPr>
      <w:r>
        <w:rPr>
          <w:bCs/>
          <w:b/>
        </w:rPr>
        <w:t xml:space="preserve">NIST 800-53 Controls:</w:t>
      </w:r>
    </w:p>
    <w:p>
      <w:pPr>
        <w:numPr>
          <w:ilvl w:val="0"/>
          <w:numId w:val="1012"/>
        </w:numPr>
      </w:pPr>
      <w:r>
        <w:t xml:space="preserve">AU-2: Audit Events</w:t>
      </w:r>
    </w:p>
    <w:p>
      <w:pPr>
        <w:numPr>
          <w:ilvl w:val="0"/>
          <w:numId w:val="1012"/>
        </w:numPr>
      </w:pPr>
      <w:r>
        <w:t xml:space="preserve">AU-3: Content of Audit Records</w:t>
      </w:r>
    </w:p>
    <w:p>
      <w:pPr>
        <w:numPr>
          <w:ilvl w:val="0"/>
          <w:numId w:val="1012"/>
        </w:numPr>
      </w:pPr>
      <w:r>
        <w:t xml:space="preserve">AU-6: Audit Record Review, Analysis, and Reporting</w:t>
      </w:r>
    </w:p>
    <w:p>
      <w:pPr>
        <w:numPr>
          <w:ilvl w:val="0"/>
          <w:numId w:val="1012"/>
        </w:numPr>
      </w:pPr>
      <w:r>
        <w:t xml:space="preserve">AU-7: Audit Record Reduction and Report Generation</w:t>
      </w:r>
    </w:p>
    <w:p>
      <w:pPr>
        <w:numPr>
          <w:ilvl w:val="0"/>
          <w:numId w:val="1012"/>
        </w:numPr>
      </w:pPr>
      <w:r>
        <w:t xml:space="preserve">AU-12: Audit Record Generation</w:t>
      </w:r>
    </w:p>
    <w:p>
      <w:pPr>
        <w:numPr>
          <w:ilvl w:val="0"/>
          <w:numId w:val="1012"/>
        </w:numPr>
      </w:pPr>
      <w:r>
        <w:t xml:space="preserve">SI-4: System Monitoring</w:t>
      </w:r>
    </w:p>
    <w:p>
      <w:pPr>
        <w:pStyle w:val="FirstParagraph"/>
      </w:pPr>
      <w:r>
        <w:rPr>
          <w:bCs/>
          <w:b/>
        </w:rPr>
        <w:t xml:space="preserve">KSI Category:</w:t>
      </w:r>
      <w:r>
        <w:t xml:space="preserve"> </w:t>
      </w:r>
      <w:r>
        <w:rPr>
          <w:rStyle w:val="VerbatimChar"/>
        </w:rPr>
        <w:t xml:space="preserve">KSI-GOV</w:t>
      </w:r>
      <w:r>
        <w:br/>
      </w:r>
      <w:r>
        <w:rPr>
          <w:bCs/>
          <w:b/>
        </w:rPr>
        <w:t xml:space="preserve">Evidence Method:</w:t>
      </w:r>
      <w:r>
        <w:t xml:space="preserve"> </w:t>
      </w:r>
      <w:r>
        <w:t xml:space="preserve">Splunk Search Processing Language (SPL) Queries and Scheduled Report Audit Logs</w:t>
      </w:r>
    </w:p>
    <w:p>
      <w:pPr>
        <w:pStyle w:val="BlockText"/>
      </w:pPr>
      <w:r>
        <w:rPr>
          <w:bCs/>
          <w:b/>
        </w:rPr>
        <w:t xml:space="preserve">CISA Directive Compliance:</w:t>
      </w:r>
      <w:r>
        <w:t xml:space="preserve"> </w:t>
      </w:r>
      <w:r>
        <w:t xml:space="preserve">—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()</w:t>
      </w:r>
    </w:p>
    <w:p>
      <w:pPr>
        <w:pStyle w:val="FirstParagraph"/>
      </w:pPr>
      <w:r>
        <w:rPr>
          <w:bCs/>
          <w:b/>
        </w:rPr>
        <w:t xml:space="preserve">Documentation:</w:t>
      </w:r>
      <w:r>
        <w:t xml:space="preserve"> </w:t>
      </w:r>
      <w:hyperlink r:id="rId39">
        <w:r>
          <w:rPr>
            <w:rStyle w:val="Hyperlink"/>
          </w:rPr>
          <w:t xml:space="preserve">Splunk Technical Docs</w:t>
        </w:r>
      </w:hyperlink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external-security-baselines"/>
    <w:p>
      <w:pPr>
        <w:pStyle w:val="Heading2"/>
      </w:pPr>
      <w:r>
        <w:t xml:space="preserve">4. External Security Baselines</w:t>
      </w:r>
    </w:p>
    <w:p>
      <w:pPr>
        <w:pStyle w:val="FirstParagraph"/>
      </w:pPr>
      <w:r>
        <w:t xml:space="preserve">The UIAO architecture integrates with CISA’s Secure Cloud Business Applications (SCuBA) project to provide automated compliance validation and continuous reporting as required by BOD 25-01.</w:t>
      </w:r>
    </w:p>
    <w:bookmarkStart w:id="43" w:name="scubagear"/>
    <w:p>
      <w:pPr>
        <w:pStyle w:val="Heading3"/>
      </w:pPr>
      <w:r>
        <w:t xml:space="preserve">ScubaGear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CISA Secure Cloud Business Applications - Microsoft 365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Repository:</w:t>
      </w:r>
      <w:r>
        <w:t xml:space="preserve"> </w:t>
      </w:r>
      <w:hyperlink r:id="rId42">
        <w:r>
          <w:rPr>
            <w:rStyle w:val="Hyperlink"/>
          </w:rPr>
          <w:t xml:space="preserve">ScubaGear</w:t>
        </w:r>
      </w:hyperlink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Current Version:</w:t>
      </w:r>
      <w:r>
        <w:t xml:space="preserve"> </w:t>
      </w:r>
      <w:r>
        <w:t xml:space="preserve">TBD - auto-synced via scripts/sync-scuba.py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Mandate:</w:t>
      </w:r>
      <w:r>
        <w:t xml:space="preserve"> </w:t>
      </w:r>
      <w:r>
        <w:t xml:space="preserve">BOD 25-01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Reporting:</w:t>
      </w:r>
      <w:r>
        <w:t xml:space="preserve"> </w:t>
      </w:r>
      <w:r>
        <w:t xml:space="preserve">Continuous to CISA</w:t>
      </w:r>
    </w:p>
    <w:bookmarkEnd w:id="43"/>
    <w:bookmarkStart w:id="45" w:name="scubagoggles"/>
    <w:p>
      <w:pPr>
        <w:pStyle w:val="Heading3"/>
      </w:pPr>
      <w:r>
        <w:t xml:space="preserve">ScubaGoggles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CISA Secure Cloud Business Applications - Google Workspace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Repository:</w:t>
      </w:r>
      <w:r>
        <w:t xml:space="preserve"> </w:t>
      </w:r>
      <w:hyperlink r:id="rId44">
        <w:r>
          <w:rPr>
            <w:rStyle w:val="Hyperlink"/>
          </w:rPr>
          <w:t xml:space="preserve">ScubaGoggles</w:t>
        </w:r>
      </w:hyperlink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Current Version:</w:t>
      </w:r>
      <w:r>
        <w:t xml:space="preserve"> </w:t>
      </w:r>
      <w:r>
        <w:t xml:space="preserve">TBD - auto-synced via scripts/sync-scuba.py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Mandate:</w:t>
      </w:r>
      <w:r>
        <w:t xml:space="preserve"> </w:t>
      </w:r>
      <w:r>
        <w:t xml:space="preserve">BOD 25-01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active-cisa-directives"/>
    <w:p>
      <w:pPr>
        <w:pStyle w:val="Heading2"/>
      </w:pPr>
      <w:r>
        <w:t xml:space="preserve">5. Active CISA Directives</w:t>
      </w:r>
    </w:p>
    <w:p>
      <w:pPr>
        <w:pStyle w:val="FirstParagraph"/>
      </w:pPr>
      <w:r>
        <w:t xml:space="preserve">The following Binding Operational Directives (BODs) and Emergency Directives (EDs) are actively tracked in this repository. Compliance status is updated in</w:t>
      </w:r>
      <w:r>
        <w:t xml:space="preserve"> </w:t>
      </w:r>
      <w:r>
        <w:rPr>
          <w:rStyle w:val="VerbatimChar"/>
        </w:rPr>
        <w:t xml:space="preserve">data/vendor-stack.yml</w:t>
      </w:r>
      <w:r>
        <w:t xml:space="preserve"> </w:t>
      </w:r>
      <w:r>
        <w:t xml:space="preserve">and reflected automatically in all generated documents.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Vendor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 25-01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Implementing Secure Practices for Cloud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Federal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 26-03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Mitigate Vulnerabilities in Cisco SD-WAN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Cisco</w:t>
            </w:r>
          </w:p>
        </w:tc>
      </w:tr>
    </w:tbl>
    <w:bookmarkStart w:id="47" w:name="X79a699847e949ee4eec5e4c2b2dd56c45bba5e3"/>
    <w:p>
      <w:pPr>
        <w:pStyle w:val="Heading3"/>
      </w:pPr>
      <w:r>
        <w:t xml:space="preserve">BOD 25-01: Implementing Secure Practices for Cloud Services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Active</w:t>
      </w:r>
      <w:r>
        <w:br/>
      </w:r>
      <w:r>
        <w:rPr>
          <w:bCs/>
          <w:b/>
        </w:rPr>
        <w:t xml:space="preserve">Required Tools:</w:t>
      </w:r>
      <w:r>
        <w:t xml:space="preserve"> </w:t>
      </w:r>
      <w:r>
        <w:t xml:space="preserve">ScubaGear, ScubaGoggles</w:t>
      </w:r>
      <w:r>
        <w:br/>
      </w:r>
      <w:r>
        <w:rPr>
          <w:bCs/>
          <w:b/>
        </w:rPr>
        <w:t xml:space="preserve">Reporting Frequency:</w:t>
      </w:r>
      <w:r>
        <w:t xml:space="preserve"> </w:t>
      </w:r>
      <w:r>
        <w:t xml:space="preserve">Continuous</w:t>
      </w:r>
    </w:p>
    <w:bookmarkEnd w:id="47"/>
    <w:bookmarkStart w:id="48" w:name="X76bd466c1203c92237b91f20708f3321b91db21"/>
    <w:p>
      <w:pPr>
        <w:pStyle w:val="Heading3"/>
      </w:pPr>
      <w:r>
        <w:t xml:space="preserve">ED 26-03: Mitigate Vulnerabilities in Cisco SD-WAN Systems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Remediated</w:t>
      </w:r>
      <w:r>
        <w:br/>
      </w:r>
      <w:r>
        <w:rPr>
          <w:bCs/>
          <w:b/>
        </w:rPr>
        <w:t xml:space="preserve">Patch Deadline:</w:t>
      </w:r>
      <w:r>
        <w:t xml:space="preserve"> </w:t>
      </w:r>
      <w:r>
        <w:t xml:space="preserve">2026-03-15</w:t>
      </w:r>
      <w:r>
        <w:br/>
      </w:r>
      <w:r>
        <w:rPr>
          <w:bCs/>
          <w:b/>
        </w:rPr>
        <w:t xml:space="preserve">UIAO Response:</w:t>
      </w:r>
      <w:r>
        <w:t xml:space="preserve"> </w:t>
      </w:r>
      <w:r>
        <w:t xml:space="preserve">Patched 2026-02-28 - Logged in compliance_notes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maintaining-this-document"/>
    <w:p>
      <w:pPr>
        <w:pStyle w:val="Heading2"/>
      </w:pPr>
      <w:r>
        <w:t xml:space="preserve">6. Maintaining This Document</w:t>
      </w:r>
    </w:p>
    <w:p>
      <w:pPr>
        <w:pStyle w:val="FirstParagraph"/>
      </w:pPr>
      <w:r>
        <w:t xml:space="preserve">This document is automatically regenerated whenever changes are pushed to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branch. To update vendor information:</w:t>
      </w:r>
    </w:p>
    <w:p>
      <w:pPr>
        <w:numPr>
          <w:ilvl w:val="0"/>
          <w:numId w:val="1015"/>
        </w:numPr>
        <w:pStyle w:val="Compact"/>
      </w:pPr>
      <w:r>
        <w:t xml:space="preserve">Edit</w:t>
      </w:r>
      <w:r>
        <w:t xml:space="preserve"> </w:t>
      </w:r>
      <w:r>
        <w:rPr>
          <w:rStyle w:val="VerbatimChar"/>
        </w:rPr>
        <w:t xml:space="preserve">data/vendor-stack.yml</w:t>
      </w:r>
      <w:r>
        <w:t xml:space="preserve"> </w:t>
      </w:r>
      <w:r>
        <w:t xml:space="preserve">with the new vendor version, directive status, or certification update.</w:t>
      </w:r>
    </w:p>
    <w:p>
      <w:pPr>
        <w:numPr>
          <w:ilvl w:val="0"/>
          <w:numId w:val="1015"/>
        </w:numPr>
        <w:pStyle w:val="Compact"/>
      </w:pPr>
      <w:r>
        <w:t xml:space="preserve">Commit and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The GitHub Actions workflow will regenerate all documents, including this one.</w:t>
      </w:r>
    </w:p>
    <w:p>
      <w:pPr>
        <w:numPr>
          <w:ilvl w:val="0"/>
          <w:numId w:val="1015"/>
        </w:numPr>
        <w:pStyle w:val="Compact"/>
      </w:pPr>
      <w:r>
        <w:t xml:space="preserve">The updated document will appear on the UIAO-Core website within minutes.</w:t>
      </w:r>
    </w:p>
    <w:p>
      <w:pPr>
        <w:pStyle w:val="FirstParagraph"/>
      </w:pPr>
      <w:r>
        <w:t xml:space="preserve">This approach ensures that the vendor compliance registry is never stale, always version-controlled, and permanently auditable through Git history.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docs.infoblox.com/space/BloxOneThreatDefense" TargetMode="External" /><Relationship Type="http://schemas.openxmlformats.org/officeDocument/2006/relationships/hyperlink" Id="rId37" Target="https://docs.servicenow.com/bundle/xanadu-it-service-management/page/product/incident-management/concept/c_IncidentManagement.html" TargetMode="External" /><Relationship Type="http://schemas.openxmlformats.org/officeDocument/2006/relationships/hyperlink" Id="rId39" Target="https://docs.splunk.com/Documentation/SplunkCloud" TargetMode="External" /><Relationship Type="http://schemas.openxmlformats.org/officeDocument/2006/relationships/hyperlink" Id="rId42" Target="https://github.com/cisagov/ScubaGear" TargetMode="External" /><Relationship Type="http://schemas.openxmlformats.org/officeDocument/2006/relationships/hyperlink" Id="rId44" Target="https://github.com/cisagov/ScubaGoggles" TargetMode="External" /><Relationship Type="http://schemas.openxmlformats.org/officeDocument/2006/relationships/hyperlink" Id="rId33" Target="https://learn.microsoft.com/en-us/azure/sentinel/" TargetMode="External" /><Relationship Type="http://schemas.openxmlformats.org/officeDocument/2006/relationships/hyperlink" Id="rId31" Target="https://learn.microsoft.com/en-us/defender-endpoint/" TargetMode="External" /><Relationship Type="http://schemas.openxmlformats.org/officeDocument/2006/relationships/hyperlink" Id="rId27" Target="https://learn.microsoft.com/en-us/entra/identity/" TargetMode="External" /><Relationship Type="http://schemas.openxmlformats.org/officeDocument/2006/relationships/hyperlink" Id="rId29" Target="https://learn.microsoft.com/en-us/mem/intune/" TargetMode="External" /><Relationship Type="http://schemas.openxmlformats.org/officeDocument/2006/relationships/hyperlink" Id="rId24" Target="https://sec.cloudapps.cisco.com/security/center/resources/Cisco-Catalyst-SD-WAN-HardeningGuide" TargetMode="External" /><Relationship Type="http://schemas.openxmlformats.org/officeDocument/2006/relationships/hyperlink" Id="rId25" Target="https://www.cisco.com/c/en/us/td/docs/routers/sdwan/configuration/routing/v17-9/routing-book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docs.infoblox.com/space/BloxOneThreatDefense" TargetMode="External" /><Relationship Type="http://schemas.openxmlformats.org/officeDocument/2006/relationships/hyperlink" Id="rId37" Target="https://docs.servicenow.com/bundle/xanadu-it-service-management/page/product/incident-management/concept/c_IncidentManagement.html" TargetMode="External" /><Relationship Type="http://schemas.openxmlformats.org/officeDocument/2006/relationships/hyperlink" Id="rId39" Target="https://docs.splunk.com/Documentation/SplunkCloud" TargetMode="External" /><Relationship Type="http://schemas.openxmlformats.org/officeDocument/2006/relationships/hyperlink" Id="rId42" Target="https://github.com/cisagov/ScubaGear" TargetMode="External" /><Relationship Type="http://schemas.openxmlformats.org/officeDocument/2006/relationships/hyperlink" Id="rId44" Target="https://github.com/cisagov/ScubaGoggles" TargetMode="External" /><Relationship Type="http://schemas.openxmlformats.org/officeDocument/2006/relationships/hyperlink" Id="rId33" Target="https://learn.microsoft.com/en-us/azure/sentinel/" TargetMode="External" /><Relationship Type="http://schemas.openxmlformats.org/officeDocument/2006/relationships/hyperlink" Id="rId31" Target="https://learn.microsoft.com/en-us/defender-endpoint/" TargetMode="External" /><Relationship Type="http://schemas.openxmlformats.org/officeDocument/2006/relationships/hyperlink" Id="rId27" Target="https://learn.microsoft.com/en-us/entra/identity/" TargetMode="External" /><Relationship Type="http://schemas.openxmlformats.org/officeDocument/2006/relationships/hyperlink" Id="rId29" Target="https://learn.microsoft.com/en-us/mem/intune/" TargetMode="External" /><Relationship Type="http://schemas.openxmlformats.org/officeDocument/2006/relationships/hyperlink" Id="rId24" Target="https://sec.cloudapps.cisco.com/security/center/resources/Cisco-Catalyst-SD-WAN-HardeningGuide" TargetMode="External" /><Relationship Type="http://schemas.openxmlformats.org/officeDocument/2006/relationships/hyperlink" Id="rId25" Target="https://www.cisco.com/c/en/us/td/docs/routers/sdwan/configuration/routing/v17-9/routing-book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2026-03-20T16:11:24Z</dcterms:created>
  <dcterms:modified xsi:type="dcterms:W3CDTF">2026-03-20T16:11:24Z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