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 Controlplanearchitecture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control-plane-architecture"/>
    <w:p>
      <w:pPr>
        <w:pStyle w:val="Heading2"/>
      </w:pPr>
      <w:r>
        <w:t xml:space="preserve">1.1 Control Plane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Architectural Specification (00_Core)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six control planes that form the foundation of the Unified Identity-Addressing-Overlay (UIAO) architecture. It establishes the authoritative structure, responsibilities, boundaries, and interactions of each plane, ensuring deterministic behavior across identity, network, addressing, telemetry, security, and management domains.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Canonical definitions of all six control planes</w:t>
      </w:r>
    </w:p>
    <w:p>
      <w:pPr>
        <w:pStyle w:val="Compact"/>
        <w:numPr>
          <w:ilvl w:val="0"/>
          <w:numId w:val="1001"/>
        </w:numPr>
      </w:pPr>
      <w:r>
        <w:t xml:space="preserve">Responsibilities and boundaries for each plane</w:t>
      </w:r>
    </w:p>
    <w:p>
      <w:pPr>
        <w:pStyle w:val="Compact"/>
        <w:numPr>
          <w:ilvl w:val="0"/>
          <w:numId w:val="1001"/>
        </w:numPr>
      </w:pPr>
      <w:r>
        <w:t xml:space="preserve">Cross-plane interactions</w:t>
      </w:r>
    </w:p>
    <w:p>
      <w:pPr>
        <w:pStyle w:val="Compact"/>
        <w:numPr>
          <w:ilvl w:val="0"/>
          <w:numId w:val="1001"/>
        </w:numPr>
      </w:pPr>
      <w:r>
        <w:t xml:space="preserve">Runtime alignment with UIAO’s conversation-centric model</w:t>
      </w:r>
    </w:p>
    <w:p>
      <w:pPr>
        <w:pStyle w:val="Compact"/>
        <w:numPr>
          <w:ilvl w:val="0"/>
          <w:numId w:val="1001"/>
        </w:numPr>
      </w:pPr>
      <w:r>
        <w:t xml:space="preserve">Compliance and governance anchors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Implementation-specific configurations</w:t>
      </w:r>
    </w:p>
    <w:p>
      <w:pPr>
        <w:pStyle w:val="Compact"/>
        <w:numPr>
          <w:ilvl w:val="0"/>
          <w:numId w:val="1002"/>
        </w:numPr>
      </w:pPr>
      <w:r>
        <w:t xml:space="preserve">Vendor-specific deployment guides</w:t>
      </w:r>
    </w:p>
    <w:p>
      <w:pPr>
        <w:pStyle w:val="Compact"/>
        <w:numPr>
          <w:ilvl w:val="0"/>
          <w:numId w:val="1002"/>
        </w:numPr>
      </w:pPr>
      <w:r>
        <w:t xml:space="preserve">Project plans (covered in modernization appendices)</w:t>
      </w:r>
    </w:p>
    <w:p>
      <w:pPr>
        <w:pStyle w:val="Compact"/>
        <w:numPr>
          <w:ilvl w:val="0"/>
          <w:numId w:val="1002"/>
        </w:numPr>
      </w:pPr>
      <w:r>
        <w:t xml:space="preserve">Diagrams (referenced but not embedded)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document defines all six UIAO control planes and establishes their relationships.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Primary source of truth for identity, assurance, and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Routing, segmentation, and path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IPAM, DNS, DHCP, and identity-derived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Real-time signals for routing, security, and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enforcement, FedRAMP alignment, TIC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CMDB, device compliance</w:t>
            </w:r>
          </w:p>
        </w:tc>
      </w:tr>
    </w:tbl>
    <w:p>
      <w:pPr>
        <w:pStyle w:val="BodyText"/>
      </w:pPr>
      <w:r>
        <w:t xml:space="preserve">All other UIAO documents reference this plane model.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six control planes operate according to the Seven Core Concepts of UIAO: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These concepts are frozen and must appear identically across all UIAO documents.</w:t>
      </w:r>
    </w:p>
    <w:p>
      <w:r>
        <w:pict>
          <v:rect style="width:0;height:1.5pt" o:hralign="center" o:hrstd="t" o:hr="t"/>
        </w:pict>
      </w:r>
    </w:p>
    <w:bookmarkEnd w:id="26"/>
    <w:bookmarkStart w:id="35" w:name="architecture-model"/>
    <w:p>
      <w:pPr>
        <w:pStyle w:val="Heading2"/>
      </w:pPr>
      <w:r>
        <w:t xml:space="preserve">1.6 6. Architecture Model</w:t>
      </w:r>
    </w:p>
    <w:bookmarkStart w:id="27" w:name="overview"/>
    <w:p>
      <w:pPr>
        <w:pStyle w:val="Heading3"/>
      </w:pPr>
      <w:r>
        <w:t xml:space="preserve">1.6.1 6.1 Overview</w:t>
      </w:r>
    </w:p>
    <w:p>
      <w:pPr>
        <w:pStyle w:val="FirstParagraph"/>
      </w:pPr>
      <w:r>
        <w:t xml:space="preserve">The UIAO architecture replaces legacy perimeter-centric models with a federated, identity-driven, telemetry-informed control plane system. Each plane is authoritative for a specific domain but interoperates through deterministic, identity-anchored relationships.</w:t>
      </w:r>
    </w:p>
    <w:bookmarkEnd w:id="27"/>
    <w:bookmarkStart w:id="34" w:name="plane-definitions"/>
    <w:p>
      <w:pPr>
        <w:pStyle w:val="Heading3"/>
      </w:pPr>
      <w:r>
        <w:t xml:space="preserve">1.6.2 6.2 Plane Definitions</w:t>
      </w:r>
    </w:p>
    <w:bookmarkStart w:id="28" w:name="identity-control-plane"/>
    <w:p>
      <w:pPr>
        <w:pStyle w:val="Heading4"/>
      </w:pPr>
      <w:r>
        <w:t xml:space="preserve">1.6.2.1 Identity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Microsoft Entra 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5"/>
        </w:numPr>
      </w:pPr>
      <w:r>
        <w:t xml:space="preserve">Identity lifecycle (joiner/mover/leaver)</w:t>
      </w:r>
    </w:p>
    <w:p>
      <w:pPr>
        <w:pStyle w:val="Compact"/>
        <w:numPr>
          <w:ilvl w:val="1"/>
          <w:numId w:val="1005"/>
        </w:numPr>
      </w:pPr>
      <w:r>
        <w:t xml:space="preserve">Authentication and assurance</w:t>
      </w:r>
    </w:p>
    <w:p>
      <w:pPr>
        <w:pStyle w:val="Compact"/>
        <w:numPr>
          <w:ilvl w:val="1"/>
          <w:numId w:val="1005"/>
        </w:numPr>
      </w:pPr>
      <w:r>
        <w:t xml:space="preserve">Conditional Access</w:t>
      </w:r>
    </w:p>
    <w:p>
      <w:pPr>
        <w:pStyle w:val="Compact"/>
        <w:numPr>
          <w:ilvl w:val="1"/>
          <w:numId w:val="1005"/>
        </w:numPr>
      </w:pPr>
      <w:r>
        <w:t xml:space="preserve">Privileged Identity Management</w:t>
      </w:r>
    </w:p>
    <w:p>
      <w:pPr>
        <w:pStyle w:val="Compact"/>
        <w:numPr>
          <w:ilvl w:val="1"/>
          <w:numId w:val="1005"/>
        </w:numPr>
      </w:pPr>
      <w:r>
        <w:t xml:space="preserve">Device trust (via Intune)</w:t>
      </w:r>
    </w:p>
    <w:p>
      <w:pPr>
        <w:pStyle w:val="Compact"/>
        <w:numPr>
          <w:ilvl w:val="1"/>
          <w:numId w:val="1005"/>
        </w:numPr>
      </w:pPr>
      <w:r>
        <w:t xml:space="preserve">Identity-derived addressing and policy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HRIS, device compliance, certificate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Tokens, claims, identity attributes, assurance signals</w:t>
      </w:r>
    </w:p>
    <w:bookmarkEnd w:id="28"/>
    <w:bookmarkStart w:id="29" w:name="network-control-plane"/>
    <w:p>
      <w:pPr>
        <w:pStyle w:val="Heading4"/>
      </w:pPr>
      <w:r>
        <w:t xml:space="preserve">1.6.2.2 Network Control Plane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Cisco Catalyst SD-WAN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7"/>
        </w:numPr>
      </w:pPr>
      <w:r>
        <w:t xml:space="preserve">Routing and path selection</w:t>
      </w:r>
    </w:p>
    <w:p>
      <w:pPr>
        <w:pStyle w:val="Compact"/>
        <w:numPr>
          <w:ilvl w:val="1"/>
          <w:numId w:val="1007"/>
        </w:numPr>
      </w:pPr>
      <w:r>
        <w:t xml:space="preserve">Identity-aware segmentation</w:t>
      </w:r>
    </w:p>
    <w:p>
      <w:pPr>
        <w:pStyle w:val="Compact"/>
        <w:numPr>
          <w:ilvl w:val="1"/>
          <w:numId w:val="1007"/>
        </w:numPr>
      </w:pPr>
      <w:r>
        <w:t xml:space="preserve">Cloud OnRamp for M365</w:t>
      </w:r>
    </w:p>
    <w:p>
      <w:pPr>
        <w:pStyle w:val="Compact"/>
        <w:numPr>
          <w:ilvl w:val="1"/>
          <w:numId w:val="1007"/>
        </w:numPr>
      </w:pPr>
      <w:r>
        <w:t xml:space="preserve">DIA and branch modernization</w:t>
      </w:r>
    </w:p>
    <w:p>
      <w:pPr>
        <w:pStyle w:val="Compact"/>
        <w:numPr>
          <w:ilvl w:val="1"/>
          <w:numId w:val="1007"/>
        </w:numPr>
      </w:pPr>
      <w:r>
        <w:t xml:space="preserve">mTLS-anchored overlay enforcement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 attributes, addressing, telemetry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Segmentation decisions, path selection, overlay tunnels</w:t>
      </w:r>
    </w:p>
    <w:bookmarkEnd w:id="29"/>
    <w:bookmarkStart w:id="30" w:name="addressing-control-plane"/>
    <w:p>
      <w:pPr>
        <w:pStyle w:val="Heading4"/>
      </w:pPr>
      <w:r>
        <w:t xml:space="preserve">1.6.2.3 Addressing Control Plane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Infoblox BloxOne IPAM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9"/>
        </w:numPr>
      </w:pPr>
      <w:r>
        <w:t xml:space="preserve">Deterministic IP assignment</w:t>
      </w:r>
    </w:p>
    <w:p>
      <w:pPr>
        <w:pStyle w:val="Compact"/>
        <w:numPr>
          <w:ilvl w:val="1"/>
          <w:numId w:val="1009"/>
        </w:numPr>
      </w:pPr>
      <w:r>
        <w:t xml:space="preserve">DNS/DHCP modernization</w:t>
      </w:r>
    </w:p>
    <w:p>
      <w:pPr>
        <w:pStyle w:val="Compact"/>
        <w:numPr>
          <w:ilvl w:val="1"/>
          <w:numId w:val="1009"/>
        </w:numPr>
      </w:pPr>
      <w:r>
        <w:t xml:space="preserve">Cloud/on-prem reconciliation</w:t>
      </w:r>
    </w:p>
    <w:p>
      <w:pPr>
        <w:pStyle w:val="Compact"/>
        <w:numPr>
          <w:ilvl w:val="1"/>
          <w:numId w:val="1009"/>
        </w:numPr>
      </w:pPr>
      <w:r>
        <w:t xml:space="preserve">Identity-derived addressing</w:t>
      </w:r>
    </w:p>
    <w:p>
      <w:pPr>
        <w:pStyle w:val="Compact"/>
        <w:numPr>
          <w:ilvl w:val="1"/>
          <w:numId w:val="1009"/>
        </w:numPr>
      </w:pPr>
      <w:r>
        <w:t xml:space="preserve">Location inference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 attributes, network boundaries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IP allocations, DNS records, DHCP leases</w:t>
      </w:r>
    </w:p>
    <w:bookmarkEnd w:id="30"/>
    <w:bookmarkStart w:id="31" w:name="telemetry-location-control-plane"/>
    <w:p>
      <w:pPr>
        <w:pStyle w:val="Heading4"/>
      </w:pPr>
      <w:r>
        <w:t xml:space="preserve">1.6.2.4 Telemetry &amp; Location Control Plane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M365 Network Telemetry, SD-WAN telemetry, Defender/Intune, DNS telemetry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1"/>
        </w:numPr>
      </w:pPr>
      <w:r>
        <w:t xml:space="preserve">Real-time conversation-level telemetry</w:t>
      </w:r>
    </w:p>
    <w:p>
      <w:pPr>
        <w:pStyle w:val="Compact"/>
        <w:numPr>
          <w:ilvl w:val="1"/>
          <w:numId w:val="1011"/>
        </w:numPr>
      </w:pPr>
      <w:r>
        <w:t xml:space="preserve">Location inference (INR, IPAM, SD-WAN)</w:t>
      </w:r>
    </w:p>
    <w:p>
      <w:pPr>
        <w:pStyle w:val="Compact"/>
        <w:numPr>
          <w:ilvl w:val="1"/>
          <w:numId w:val="1011"/>
        </w:numPr>
      </w:pPr>
      <w:r>
        <w:t xml:space="preserve">E911 readiness</w:t>
      </w:r>
    </w:p>
    <w:p>
      <w:pPr>
        <w:pStyle w:val="Compact"/>
        <w:numPr>
          <w:ilvl w:val="1"/>
          <w:numId w:val="1011"/>
        </w:numPr>
      </w:pPr>
      <w:r>
        <w:t xml:space="preserve">SIEM ingestion</w:t>
      </w:r>
    </w:p>
    <w:p>
      <w:pPr>
        <w:pStyle w:val="Compact"/>
        <w:numPr>
          <w:ilvl w:val="1"/>
          <w:numId w:val="1011"/>
        </w:numPr>
      </w:pPr>
      <w:r>
        <w:t xml:space="preserve">Automated control inputs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Network flows, identity events, device posture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Assurance signals, routing modifiers, compliance indicators</w:t>
      </w:r>
    </w:p>
    <w:bookmarkEnd w:id="31"/>
    <w:bookmarkStart w:id="32" w:name="security-compliance-plane"/>
    <w:p>
      <w:pPr>
        <w:pStyle w:val="Heading4"/>
      </w:pPr>
      <w:r>
        <w:t xml:space="preserve">1.6.2.5 Security &amp; Compliance Plane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TIC 3.0, Zero Trust, FedRAMP 20x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3"/>
        </w:numPr>
      </w:pPr>
      <w:r>
        <w:t xml:space="preserve">Zero Trust enforcement</w:t>
      </w:r>
    </w:p>
    <w:p>
      <w:pPr>
        <w:pStyle w:val="Compact"/>
        <w:numPr>
          <w:ilvl w:val="1"/>
          <w:numId w:val="1013"/>
        </w:numPr>
      </w:pPr>
      <w:r>
        <w:t xml:space="preserve">FedRAMP 20x telemetry-based validation</w:t>
      </w:r>
    </w:p>
    <w:p>
      <w:pPr>
        <w:pStyle w:val="Compact"/>
        <w:numPr>
          <w:ilvl w:val="1"/>
          <w:numId w:val="1013"/>
        </w:numPr>
      </w:pPr>
      <w:r>
        <w:t xml:space="preserve">NIST 800-63 identity governance</w:t>
      </w:r>
    </w:p>
    <w:p>
      <w:pPr>
        <w:pStyle w:val="Compact"/>
        <w:numPr>
          <w:ilvl w:val="1"/>
          <w:numId w:val="1013"/>
        </w:numPr>
      </w:pPr>
      <w:r>
        <w:t xml:space="preserve">Policy enforcement across planes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Identity, telemetry, addressing, device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Allow/deny decisions, audit artifacts, compliance posture</w:t>
      </w:r>
    </w:p>
    <w:bookmarkEnd w:id="32"/>
    <w:bookmarkStart w:id="33" w:name="management-plane"/>
    <w:p>
      <w:pPr>
        <w:pStyle w:val="Heading4"/>
      </w:pPr>
      <w:r>
        <w:t xml:space="preserve">1.6.2.6 Management Plane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ServiceNow, Microsoft Intune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5"/>
        </w:numPr>
      </w:pPr>
      <w:r>
        <w:t xml:space="preserve">CMDB and asset inventory</w:t>
      </w:r>
    </w:p>
    <w:p>
      <w:pPr>
        <w:pStyle w:val="Compact"/>
        <w:numPr>
          <w:ilvl w:val="1"/>
          <w:numId w:val="1015"/>
        </w:numPr>
      </w:pPr>
      <w:r>
        <w:t xml:space="preserve">Drift detection and remediation</w:t>
      </w:r>
    </w:p>
    <w:p>
      <w:pPr>
        <w:pStyle w:val="Compact"/>
        <w:numPr>
          <w:ilvl w:val="1"/>
          <w:numId w:val="1015"/>
        </w:numPr>
      </w:pPr>
      <w:r>
        <w:t xml:space="preserve">Device compliance enforcement</w:t>
      </w:r>
    </w:p>
    <w:p>
      <w:pPr>
        <w:pStyle w:val="Compact"/>
        <w:numPr>
          <w:ilvl w:val="1"/>
          <w:numId w:val="1015"/>
        </w:numPr>
      </w:pPr>
      <w:r>
        <w:t xml:space="preserve">Change control and incident lifecycle</w:t>
      </w:r>
    </w:p>
    <w:p>
      <w:pPr>
        <w:pStyle w:val="Compact"/>
        <w:numPr>
          <w:ilvl w:val="1"/>
          <w:numId w:val="1015"/>
        </w:numPr>
      </w:pPr>
      <w:r>
        <w:t xml:space="preserve">Continuous Authorization (CA-7)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Telemetry, configuration baselines, identity lifecycle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Governance actions, remediation workflows, audit trails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 operates on conversations as the atomic unit.</w:t>
      </w:r>
    </w:p>
    <w:bookmarkStart w:id="36" w:name="conversation-flow"/>
    <w:p>
      <w:pPr>
        <w:pStyle w:val="Heading3"/>
      </w:pPr>
      <w:r>
        <w:t xml:space="preserve">1.7.1 7.1 Conversation Flow</w:t>
      </w:r>
    </w:p>
    <w:p>
      <w:pPr>
        <w:pStyle w:val="Compact"/>
        <w:numPr>
          <w:ilvl w:val="0"/>
          <w:numId w:val="1016"/>
        </w:numPr>
      </w:pPr>
      <w:r>
        <w:t xml:space="preserve">Identity initiates</w:t>
      </w:r>
    </w:p>
    <w:p>
      <w:pPr>
        <w:pStyle w:val="Compact"/>
        <w:numPr>
          <w:ilvl w:val="0"/>
          <w:numId w:val="1016"/>
        </w:numPr>
      </w:pPr>
      <w:r>
        <w:t xml:space="preserve">Addressing binds</w:t>
      </w:r>
    </w:p>
    <w:p>
      <w:pPr>
        <w:pStyle w:val="Compact"/>
        <w:numPr>
          <w:ilvl w:val="0"/>
          <w:numId w:val="1016"/>
        </w:numPr>
      </w:pPr>
      <w:r>
        <w:t xml:space="preserve">Certificates authenticate</w:t>
      </w:r>
    </w:p>
    <w:p>
      <w:pPr>
        <w:pStyle w:val="Compact"/>
        <w:numPr>
          <w:ilvl w:val="0"/>
          <w:numId w:val="1016"/>
        </w:numPr>
      </w:pPr>
      <w:r>
        <w:t xml:space="preserve">Overlay establishes path</w:t>
      </w:r>
    </w:p>
    <w:p>
      <w:pPr>
        <w:pStyle w:val="Compact"/>
        <w:numPr>
          <w:ilvl w:val="0"/>
          <w:numId w:val="1016"/>
        </w:numPr>
      </w:pPr>
      <w:r>
        <w:t xml:space="preserve">Telemetry validates</w:t>
      </w:r>
    </w:p>
    <w:p>
      <w:pPr>
        <w:pStyle w:val="Compact"/>
        <w:numPr>
          <w:ilvl w:val="0"/>
          <w:numId w:val="1016"/>
        </w:numPr>
      </w:pPr>
      <w:r>
        <w:t xml:space="preserve">Policy evaluates continuously</w:t>
      </w:r>
    </w:p>
    <w:bookmarkEnd w:id="36"/>
    <w:bookmarkStart w:id="37" w:name="determinism"/>
    <w:p>
      <w:pPr>
        <w:pStyle w:val="Heading3"/>
      </w:pPr>
      <w:r>
        <w:t xml:space="preserve">1.7.2 7.2 Determinism</w:t>
      </w:r>
    </w:p>
    <w:p>
      <w:pPr>
        <w:pStyle w:val="FirstParagraph"/>
      </w:pPr>
      <w:r>
        <w:t xml:space="preserve">Given identical identity, boundary, telemetry, and assurance inputs, the system must produce the same decision across clouds, agencies, and implementations.</w:t>
      </w:r>
    </w:p>
    <w:bookmarkEnd w:id="37"/>
    <w:bookmarkStart w:id="38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modifies routing, access, and segmentation decisions in real 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ompliance-mapping"/>
    <w:p>
      <w:pPr>
        <w:pStyle w:val="Heading2"/>
      </w:pPr>
      <w:r>
        <w:t xml:space="preserve">1.8 8. Compliance Mapping</w:t>
      </w:r>
    </w:p>
    <w:bookmarkStart w:id="40" w:name="fedramp-20x-alignment"/>
    <w:p>
      <w:pPr>
        <w:pStyle w:val="Heading3"/>
      </w:pPr>
      <w:r>
        <w:t xml:space="preserve">1.8.1 8.1 FedRAMP 20x Alignment</w:t>
      </w:r>
    </w:p>
    <w:p>
      <w:pPr>
        <w:pStyle w:val="Compact"/>
        <w:numPr>
          <w:ilvl w:val="0"/>
          <w:numId w:val="1017"/>
        </w:numPr>
      </w:pPr>
      <w:r>
        <w:t xml:space="preserve">Class C (Moderate)</w:t>
      </w:r>
    </w:p>
    <w:p>
      <w:pPr>
        <w:pStyle w:val="Compact"/>
        <w:numPr>
          <w:ilvl w:val="0"/>
          <w:numId w:val="1017"/>
        </w:numPr>
      </w:pPr>
      <w:r>
        <w:t xml:space="preserve">Telemetry-based validation</w:t>
      </w:r>
    </w:p>
    <w:p>
      <w:pPr>
        <w:pStyle w:val="Compact"/>
        <w:numPr>
          <w:ilvl w:val="0"/>
          <w:numId w:val="1017"/>
        </w:numPr>
      </w:pPr>
      <w:r>
        <w:t xml:space="preserve">OSCAL machine-readability</w:t>
      </w:r>
    </w:p>
    <w:bookmarkEnd w:id="40"/>
    <w:bookmarkStart w:id="41" w:name="nist-800-53-rev-5-controls"/>
    <w:p>
      <w:pPr>
        <w:pStyle w:val="Heading3"/>
      </w:pPr>
      <w:r>
        <w:t xml:space="preserve">1.8.2 8.2 NIST 800-53 Rev 5 Controls</w:t>
      </w:r>
    </w:p>
    <w:p>
      <w:pPr>
        <w:pStyle w:val="FirstParagraph"/>
      </w:pPr>
      <w:r>
        <w:t xml:space="preserve">Mapped via the canonical crosswalk: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(segmentation)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IA-2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Information System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 and Integrity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Information System Monitoring (telemetry)</w:t>
            </w:r>
          </w:p>
        </w:tc>
      </w:tr>
    </w:tbl>
    <w:bookmarkEnd w:id="41"/>
    <w:bookmarkStart w:id="42" w:name="ksi-categories"/>
    <w:p>
      <w:pPr>
        <w:pStyle w:val="Heading3"/>
      </w:pPr>
      <w:r>
        <w:t xml:space="preserve">1.8.3 8.3 KSI Categories</w:t>
      </w:r>
    </w:p>
    <w:p>
      <w:pPr>
        <w:pStyle w:val="Compact"/>
        <w:numPr>
          <w:ilvl w:val="0"/>
          <w:numId w:val="1018"/>
        </w:numPr>
      </w:pPr>
      <w:r>
        <w:t xml:space="preserve">KSI-IAM</w:t>
      </w:r>
    </w:p>
    <w:p>
      <w:pPr>
        <w:pStyle w:val="Compact"/>
        <w:numPr>
          <w:ilvl w:val="0"/>
          <w:numId w:val="1018"/>
        </w:numPr>
      </w:pPr>
      <w:r>
        <w:t xml:space="preserve">KSI-PIY</w:t>
      </w:r>
    </w:p>
    <w:p>
      <w:pPr>
        <w:pStyle w:val="Compact"/>
        <w:numPr>
          <w:ilvl w:val="0"/>
          <w:numId w:val="1018"/>
        </w:numPr>
      </w:pPr>
      <w:r>
        <w:t xml:space="preserve">KSI-MLA</w:t>
      </w:r>
    </w:p>
    <w:p>
      <w:pPr>
        <w:pStyle w:val="Compact"/>
        <w:numPr>
          <w:ilvl w:val="0"/>
          <w:numId w:val="1018"/>
        </w:numPr>
      </w:pPr>
      <w:r>
        <w:t xml:space="preserve">KSI-SVC</w:t>
      </w:r>
    </w:p>
    <w:p>
      <w:pPr>
        <w:pStyle w:val="Compact"/>
        <w:numPr>
          <w:ilvl w:val="0"/>
          <w:numId w:val="1018"/>
        </w:numPr>
      </w:pPr>
      <w:r>
        <w:t xml:space="preserve">KSI-CMT</w:t>
      </w:r>
    </w:p>
    <w:p>
      <w:pPr>
        <w:pStyle w:val="Compact"/>
        <w:numPr>
          <w:ilvl w:val="0"/>
          <w:numId w:val="1018"/>
        </w:numPr>
      </w:pPr>
      <w:r>
        <w:t xml:space="preserve">KSI-CNA</w:t>
      </w:r>
    </w:p>
    <w:p>
      <w:pPr>
        <w:pStyle w:val="Compact"/>
        <w:numPr>
          <w:ilvl w:val="0"/>
          <w:numId w:val="1018"/>
        </w:numPr>
      </w:pPr>
      <w:r>
        <w:t xml:space="preserve">KSI-CED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pendencies-sequencing"/>
    <w:p>
      <w:pPr>
        <w:pStyle w:val="Heading2"/>
      </w:pPr>
      <w:r>
        <w:t xml:space="preserve">1.9 9. Dependencies &amp; Sequencing</w:t>
      </w:r>
    </w:p>
    <w:bookmarkStart w:id="44" w:name="upstream"/>
    <w:p>
      <w:pPr>
        <w:pStyle w:val="Heading3"/>
      </w:pPr>
      <w:r>
        <w:t xml:space="preserve">1.9.1 Upstream</w:t>
      </w:r>
    </w:p>
    <w:p>
      <w:pPr>
        <w:pStyle w:val="Compact"/>
        <w:numPr>
          <w:ilvl w:val="0"/>
          <w:numId w:val="1019"/>
        </w:numPr>
      </w:pPr>
      <w:r>
        <w:t xml:space="preserve">HRIS</w:t>
      </w:r>
    </w:p>
    <w:p>
      <w:pPr>
        <w:pStyle w:val="Compact"/>
        <w:numPr>
          <w:ilvl w:val="0"/>
          <w:numId w:val="1019"/>
        </w:numPr>
      </w:pPr>
      <w:r>
        <w:t xml:space="preserve">PKI</w:t>
      </w:r>
    </w:p>
    <w:p>
      <w:pPr>
        <w:pStyle w:val="Compact"/>
        <w:numPr>
          <w:ilvl w:val="0"/>
          <w:numId w:val="1019"/>
        </w:numPr>
      </w:pPr>
      <w:r>
        <w:t xml:space="preserve">CMDB</w:t>
      </w:r>
    </w:p>
    <w:p>
      <w:pPr>
        <w:pStyle w:val="Compact"/>
        <w:numPr>
          <w:ilvl w:val="0"/>
          <w:numId w:val="1019"/>
        </w:numPr>
      </w:pPr>
      <w:r>
        <w:t xml:space="preserve">Network underlay</w:t>
      </w:r>
    </w:p>
    <w:bookmarkEnd w:id="44"/>
    <w:bookmarkStart w:id="45" w:name="downstream"/>
    <w:p>
      <w:pPr>
        <w:pStyle w:val="Heading3"/>
      </w:pPr>
      <w:r>
        <w:t xml:space="preserve">1.9.2 Downstream</w:t>
      </w:r>
    </w:p>
    <w:p>
      <w:pPr>
        <w:pStyle w:val="Compact"/>
        <w:numPr>
          <w:ilvl w:val="0"/>
          <w:numId w:val="1020"/>
        </w:numPr>
      </w:pPr>
      <w:r>
        <w:t xml:space="preserve">Project plans (A-D)</w:t>
      </w:r>
    </w:p>
    <w:p>
      <w:pPr>
        <w:pStyle w:val="Compact"/>
        <w:numPr>
          <w:ilvl w:val="0"/>
          <w:numId w:val="1020"/>
        </w:numPr>
      </w:pPr>
      <w:r>
        <w:t xml:space="preserve">Modernization timeline</w:t>
      </w:r>
    </w:p>
    <w:p>
      <w:pPr>
        <w:pStyle w:val="Compact"/>
        <w:numPr>
          <w:ilvl w:val="0"/>
          <w:numId w:val="1020"/>
        </w:numPr>
      </w:pPr>
      <w:r>
        <w:t xml:space="preserve">FedRAMP crosswalk</w:t>
      </w:r>
    </w:p>
    <w:p>
      <w:pPr>
        <w:pStyle w:val="Compact"/>
        <w:numPr>
          <w:ilvl w:val="0"/>
          <w:numId w:val="1020"/>
        </w:numPr>
      </w:pPr>
      <w:r>
        <w:t xml:space="preserve">Leadership briefing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governance-drift-controls"/>
    <w:p>
      <w:pPr>
        <w:pStyle w:val="Heading2"/>
      </w:pPr>
      <w:r>
        <w:t xml:space="preserve">1.10 10. Governance &amp; Drift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Authority</w:t>
            </w:r>
          </w:p>
        </w:tc>
        <w:tc>
          <w:tcPr/>
          <w:p>
            <w:pPr>
              <w:pStyle w:val="Compact"/>
            </w:pPr>
            <w:r>
              <w:t xml:space="preserve">HR (human identity), Network architecture (addressing), System owners (configuration), PKI (credential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ServiceNow CMDB reconciliation, Intune compliance, SD-WAN overlay validation, IPAM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Workflow</w:t>
            </w:r>
          </w:p>
        </w:tc>
        <w:tc>
          <w:tcPr/>
          <w:p>
            <w:pPr>
              <w:pStyle w:val="Compact"/>
            </w:pPr>
            <w:r>
              <w:t xml:space="preserve">Automated ServiceNow change, Conditional Access enforcement, Certificate renewal, IPAM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Anchors</w:t>
            </w:r>
          </w:p>
        </w:tc>
        <w:tc>
          <w:tcPr/>
          <w:p>
            <w:pPr>
              <w:pStyle w:val="Compact"/>
            </w:pPr>
            <w:r>
              <w:t xml:space="preserve">Entra ID logs, Infoblox API records, SD-WAN telemetry, Intune compliance reports, ServiceNow audit trails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appendices"/>
    <w:p>
      <w:pPr>
        <w:pStyle w:val="Heading2"/>
      </w:pPr>
      <w:r>
        <w:t xml:space="preserve">1.11 11. Appendices</w:t>
      </w:r>
    </w:p>
    <w:bookmarkStart w:id="48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8"/>
    <w:bookmarkStart w:id="49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Control plane summary tables are embedded in Section 4 and Section 6.</w:t>
      </w:r>
    </w:p>
    <w:bookmarkEnd w:id="49"/>
    <w:bookmarkStart w:id="50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0"/>
    <w:bookmarkStart w:id="51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docs/fedramp22_summary_v1.0.md</w:t>
      </w:r>
      <w:r>
        <w:rPr>
          <w:i/>
          <w:iCs/>
        </w:rPr>
        <w:t xml:space="preserve">.</w:t>
      </w:r>
    </w:p>
    <w:bookmarkEnd w:id="51"/>
    <w:bookmarkStart w:id="52" w:name="appendix-e-evidence-sources"/>
    <w:p>
      <w:pPr>
        <w:pStyle w:val="Heading3"/>
      </w:pPr>
      <w:r>
        <w:t xml:space="preserve">1.11.5 Appendix E: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Controlplanearchitecture</dc:title>
  <dc:creator>UIAO Modernization Program</dc:creator>
  <dc:language>en</dc:language>
  <cp:keywords/>
  <dcterms:created xsi:type="dcterms:W3CDTF">2026-03-31T17:37:13Z</dcterms:created>
  <dcterms:modified xsi:type="dcterms:W3CDTF">2026-03-31T17:37:13Z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