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Unifiedarchitecture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unified-architecture-specification"/>
    <w:p>
      <w:pPr>
        <w:pStyle w:val="Heading2"/>
      </w:pPr>
      <w:r>
        <w:t xml:space="preserve">1.1 Unified Architecture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unified architecture of the Unified Identity-Addressing-Overlay (UIAO) system. It integrates all six control planes into a single, coherent, identity-driven, telemetry-informed modernization framework. It serves as the architectural foundation for project plans, compliance mappings, modernization timelines, and executive briefings.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Unified architectural model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Cross-plane interactions and dependencies</w:t>
      </w:r>
    </w:p>
    <w:p>
      <w:pPr>
        <w:pStyle w:val="Compact"/>
        <w:numPr>
          <w:ilvl w:val="0"/>
          <w:numId w:val="1001"/>
        </w:numPr>
      </w:pPr>
      <w:r>
        <w:t xml:space="preserve">Core concepts and runtime behavior</w:t>
      </w:r>
    </w:p>
    <w:p>
      <w:pPr>
        <w:pStyle w:val="Compact"/>
        <w:numPr>
          <w:ilvl w:val="0"/>
          <w:numId w:val="1001"/>
        </w:numPr>
      </w:pPr>
      <w:r>
        <w:t xml:space="preserve">Architectural principles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Frozen state analysis and required state transitions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plane-specific specifications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Implementation guides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Project plan details (covered in modernization appendices)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describes the unified behavior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 in Unified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overlay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The unified architecture is the composition of these planes operating deterministically.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unified architecture is governed by the Seven Core Concepts, which must appear identically across all UIAO documents: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architectural philosophy and runtime behavior of UIAO.</w:t>
      </w:r>
    </w:p>
    <w:p>
      <w:r>
        <w:pict>
          <v:rect style="width:0;height:1.5pt" o:hralign="center" o:hrstd="t" o:hr="t"/>
        </w:pict>
      </w:r>
    </w:p>
    <w:bookmarkEnd w:id="26"/>
    <w:bookmarkStart w:id="37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perimeter-centric, device-centric, and location-centric models with a federated, identity-driven, telemetry-informed control plane system. Each plane is authoritative for its domain, but all planes operate as a single, deterministic system.</w:t>
      </w:r>
    </w:p>
    <w:p>
      <w:pPr>
        <w:pStyle w:val="BodyText"/>
      </w:pPr>
      <w:r>
        <w:t xml:space="preserve">The architecture is designed to:</w:t>
      </w:r>
    </w:p>
    <w:p>
      <w:pPr>
        <w:pStyle w:val="Compact"/>
        <w:numPr>
          <w:ilvl w:val="0"/>
          <w:numId w:val="1004"/>
        </w:numPr>
      </w:pPr>
      <w:r>
        <w:t xml:space="preserve">Eliminate TIC 2.0 bottlenecks</w:t>
      </w:r>
    </w:p>
    <w:p>
      <w:pPr>
        <w:pStyle w:val="Compact"/>
        <w:numPr>
          <w:ilvl w:val="0"/>
          <w:numId w:val="1004"/>
        </w:numPr>
      </w:pPr>
      <w:r>
        <w:t xml:space="preserve">Replace static addressing with identity-derived addressing</w:t>
      </w:r>
    </w:p>
    <w:p>
      <w:pPr>
        <w:pStyle w:val="Compact"/>
        <w:numPr>
          <w:ilvl w:val="0"/>
          <w:numId w:val="1004"/>
        </w:numPr>
      </w:pPr>
      <w:r>
        <w:t xml:space="preserve">Replace siloed logs with conversation-level telemetry</w:t>
      </w:r>
    </w:p>
    <w:p>
      <w:pPr>
        <w:pStyle w:val="Compact"/>
        <w:numPr>
          <w:ilvl w:val="0"/>
          <w:numId w:val="1004"/>
        </w:numPr>
      </w:pPr>
      <w:r>
        <w:t xml:space="preserve">Replace manual governance with automated enforcement</w:t>
      </w:r>
    </w:p>
    <w:p>
      <w:pPr>
        <w:pStyle w:val="Compact"/>
        <w:numPr>
          <w:ilvl w:val="0"/>
          <w:numId w:val="1004"/>
        </w:numPr>
      </w:pPr>
      <w:r>
        <w:t xml:space="preserve">Replace perimeter trust with continuous Zero Trust evaluation</w:t>
      </w:r>
    </w:p>
    <w:bookmarkEnd w:id="27"/>
    <w:bookmarkStart w:id="28" w:name="architectural-principles"/>
    <w:p>
      <w:pPr>
        <w:pStyle w:val="Heading3"/>
      </w:pPr>
      <w:r>
        <w:t xml:space="preserve">1.6.2 6.2 Architectural Principles</w:t>
      </w:r>
    </w:p>
    <w:p>
      <w:pPr>
        <w:pStyle w:val="FirstParagraph"/>
      </w:pPr>
      <w:r>
        <w:t xml:space="preserve">The unified architecture is governed by the following principles:</w:t>
      </w:r>
    </w:p>
    <w:p>
      <w:pPr>
        <w:pStyle w:val="Compact"/>
        <w:numPr>
          <w:ilvl w:val="0"/>
          <w:numId w:val="1005"/>
        </w:numPr>
      </w:pPr>
      <w:r>
        <w:t xml:space="preserve">Zero Trust by default</w:t>
      </w:r>
    </w:p>
    <w:p>
      <w:pPr>
        <w:pStyle w:val="Compact"/>
        <w:numPr>
          <w:ilvl w:val="0"/>
          <w:numId w:val="1005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5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5"/>
        </w:numPr>
      </w:pPr>
      <w:r>
        <w:t xml:space="preserve">Cloud-first routing</w:t>
      </w:r>
    </w:p>
    <w:p>
      <w:pPr>
        <w:pStyle w:val="Compact"/>
        <w:numPr>
          <w:ilvl w:val="0"/>
          <w:numId w:val="1005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5"/>
        </w:numPr>
      </w:pPr>
      <w:r>
        <w:t xml:space="preserve">FedRAMP-aligned controls</w:t>
      </w:r>
    </w:p>
    <w:p>
      <w:pPr>
        <w:pStyle w:val="Compact"/>
        <w:numPr>
          <w:ilvl w:val="0"/>
          <w:numId w:val="1005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are mandatory across all UIAO implementations.</w:t>
      </w:r>
    </w:p>
    <w:bookmarkEnd w:id="28"/>
    <w:bookmarkStart w:id="35" w:name="plane-interactions"/>
    <w:p>
      <w:pPr>
        <w:pStyle w:val="Heading3"/>
      </w:pPr>
      <w:r>
        <w:t xml:space="preserve">1.6.3 6.3 Plane Interactions</w:t>
      </w:r>
    </w:p>
    <w:bookmarkStart w:id="29" w:name="identity---network"/>
    <w:p>
      <w:pPr>
        <w:pStyle w:val="Heading4"/>
      </w:pPr>
      <w:r>
        <w:t xml:space="preserve">1.6.3.1 Identity &lt;-&gt; Network</w:t>
      </w:r>
    </w:p>
    <w:p>
      <w:pPr>
        <w:pStyle w:val="FirstParagraph"/>
      </w:pPr>
      <w:r>
        <w:t xml:space="preserve">Identity provides segmentation attributes; network enforces identity-aware routing.</w:t>
      </w:r>
    </w:p>
    <w:bookmarkEnd w:id="29"/>
    <w:bookmarkStart w:id="30" w:name="network---addressing"/>
    <w:p>
      <w:pPr>
        <w:pStyle w:val="Heading4"/>
      </w:pPr>
      <w:r>
        <w:t xml:space="preserve">1.6.3.2 Network &lt;-&gt; Addressing</w:t>
      </w:r>
    </w:p>
    <w:p>
      <w:pPr>
        <w:pStyle w:val="FirstParagraph"/>
      </w:pPr>
      <w:r>
        <w:t xml:space="preserve">Addressing provides deterministic IPs; network uses them for segmentation and telemetry correlation.</w:t>
      </w:r>
    </w:p>
    <w:bookmarkEnd w:id="30"/>
    <w:bookmarkStart w:id="31" w:name="addressing---telemetry"/>
    <w:p>
      <w:pPr>
        <w:pStyle w:val="Heading4"/>
      </w:pPr>
      <w:r>
        <w:t xml:space="preserve">1.6.3.3 Addressing &lt;-&gt; Telemetry</w:t>
      </w:r>
    </w:p>
    <w:p>
      <w:pPr>
        <w:pStyle w:val="FirstParagraph"/>
      </w:pPr>
      <w:r>
        <w:t xml:space="preserve">IPAM provides identity-derived IPs; telemetry uses them for location inference and conversation correlation.</w:t>
      </w:r>
    </w:p>
    <w:bookmarkEnd w:id="31"/>
    <w:bookmarkStart w:id="32" w:name="telemetry---security"/>
    <w:p>
      <w:pPr>
        <w:pStyle w:val="Heading4"/>
      </w:pPr>
      <w:r>
        <w:t xml:space="preserve">1.6.3.4 Telemetry &lt;-&gt; Security</w:t>
      </w:r>
    </w:p>
    <w:p>
      <w:pPr>
        <w:pStyle w:val="FirstParagraph"/>
      </w:pPr>
      <w:r>
        <w:t xml:space="preserve">Telemetry provides real-time assurance; security enforces Zero Trust decisions.</w:t>
      </w:r>
    </w:p>
    <w:bookmarkEnd w:id="32"/>
    <w:bookmarkStart w:id="33" w:name="security---management"/>
    <w:p>
      <w:pPr>
        <w:pStyle w:val="Heading4"/>
      </w:pPr>
      <w:r>
        <w:t xml:space="preserve">1.6.3.5 Security &lt;-&gt; Management</w:t>
      </w:r>
    </w:p>
    <w:p>
      <w:pPr>
        <w:pStyle w:val="FirstParagraph"/>
      </w:pPr>
      <w:r>
        <w:t xml:space="preserve">Security defines policy; management enforces drift detection and remediation.</w:t>
      </w:r>
    </w:p>
    <w:bookmarkEnd w:id="33"/>
    <w:bookmarkStart w:id="34" w:name="management---identity"/>
    <w:p>
      <w:pPr>
        <w:pStyle w:val="Heading4"/>
      </w:pPr>
      <w:r>
        <w:t xml:space="preserve">1.6.3.6 Management &lt;-&gt; Identity</w:t>
      </w:r>
    </w:p>
    <w:p>
      <w:pPr>
        <w:pStyle w:val="FirstParagraph"/>
      </w:pPr>
      <w:r>
        <w:t xml:space="preserve">Device compliance and lifecycle events feed identity assurance.</w:t>
      </w:r>
    </w:p>
    <w:p>
      <w:pPr>
        <w:pStyle w:val="BodyText"/>
      </w:pPr>
      <w:r>
        <w:t xml:space="preserve">This creates a closed-loop, self-governing architecture.</w:t>
      </w:r>
    </w:p>
    <w:bookmarkEnd w:id="34"/>
    <w:bookmarkEnd w:id="35"/>
    <w:bookmarkStart w:id="36" w:name="frozen-state-analysis"/>
    <w:p>
      <w:pPr>
        <w:pStyle w:val="Heading3"/>
      </w:pPr>
      <w:r>
        <w:t xml:space="preserve">1.6.4 6.4 Frozen State Analysis</w:t>
      </w:r>
    </w:p>
    <w:p>
      <w:pPr>
        <w:pStyle w:val="FirstParagraph"/>
      </w:pPr>
      <w:r>
        <w:t xml:space="preserve">The unified architecture addresses the following legacy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Deterministic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Monolithic, local auth</w:t>
            </w:r>
          </w:p>
        </w:tc>
        <w:tc>
          <w:tcPr/>
          <w:p>
            <w:pPr>
              <w:pStyle w:val="Compact"/>
            </w:pPr>
            <w:r>
              <w:t xml:space="preserve">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Email/ticket-based</w:t>
            </w:r>
          </w:p>
        </w:tc>
        <w:tc>
          <w:tcPr/>
          <w:p>
            <w:pPr>
              <w:pStyle w:val="Compact"/>
            </w:pPr>
            <w:r>
              <w:t xml:space="preserve">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Data-aware routing</w:t>
            </w:r>
          </w:p>
        </w:tc>
      </w:tr>
    </w:tbl>
    <w:p>
      <w:pPr>
        <w:pStyle w:val="BodyText"/>
      </w:pPr>
      <w:r>
        <w:t xml:space="preserve">The unified architecture provides the required state.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8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6"/>
        </w:numPr>
      </w:pPr>
      <w:r>
        <w:t xml:space="preserve">Identity initiates</w:t>
      </w:r>
    </w:p>
    <w:p>
      <w:pPr>
        <w:pStyle w:val="Compact"/>
        <w:numPr>
          <w:ilvl w:val="0"/>
          <w:numId w:val="1006"/>
        </w:numPr>
      </w:pPr>
      <w:r>
        <w:t xml:space="preserve">Addressing binds</w:t>
      </w:r>
    </w:p>
    <w:p>
      <w:pPr>
        <w:pStyle w:val="Compact"/>
        <w:numPr>
          <w:ilvl w:val="0"/>
          <w:numId w:val="1006"/>
        </w:numPr>
      </w:pPr>
      <w:r>
        <w:t xml:space="preserve">Certificates authenticate</w:t>
      </w:r>
    </w:p>
    <w:p>
      <w:pPr>
        <w:pStyle w:val="Compact"/>
        <w:numPr>
          <w:ilvl w:val="0"/>
          <w:numId w:val="1006"/>
        </w:numPr>
      </w:pPr>
      <w:r>
        <w:t xml:space="preserve">Overlay establishes path</w:t>
      </w:r>
    </w:p>
    <w:p>
      <w:pPr>
        <w:pStyle w:val="Compact"/>
        <w:numPr>
          <w:ilvl w:val="0"/>
          <w:numId w:val="1006"/>
        </w:numPr>
      </w:pPr>
      <w:r>
        <w:t xml:space="preserve">Telemetry validates</w:t>
      </w:r>
    </w:p>
    <w:p>
      <w:pPr>
        <w:pStyle w:val="Compact"/>
        <w:numPr>
          <w:ilvl w:val="0"/>
          <w:numId w:val="1006"/>
        </w:numPr>
      </w:pPr>
      <w:r>
        <w:t xml:space="preserve">Policy evaluates continuously</w:t>
      </w:r>
    </w:p>
    <w:bookmarkEnd w:id="38"/>
    <w:bookmarkStart w:id="39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7"/>
        </w:numPr>
      </w:pPr>
      <w:r>
        <w:t xml:space="preserve">Clouds</w:t>
      </w:r>
    </w:p>
    <w:p>
      <w:pPr>
        <w:pStyle w:val="Compact"/>
        <w:numPr>
          <w:ilvl w:val="0"/>
          <w:numId w:val="1007"/>
        </w:numPr>
      </w:pPr>
      <w:r>
        <w:t xml:space="preserve">Agencies</w:t>
      </w:r>
    </w:p>
    <w:p>
      <w:pPr>
        <w:pStyle w:val="Compact"/>
        <w:numPr>
          <w:ilvl w:val="0"/>
          <w:numId w:val="1007"/>
        </w:numPr>
      </w:pPr>
      <w:r>
        <w:t xml:space="preserve">Implementations</w:t>
      </w:r>
    </w:p>
    <w:bookmarkEnd w:id="39"/>
    <w:bookmarkStart w:id="40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40"/>
    <w:bookmarkStart w:id="41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8"/>
        </w:numPr>
      </w:pPr>
      <w:r>
        <w:t xml:space="preserve">Identity assurance</w:t>
      </w:r>
    </w:p>
    <w:p>
      <w:pPr>
        <w:pStyle w:val="Compact"/>
        <w:numPr>
          <w:ilvl w:val="0"/>
          <w:numId w:val="1008"/>
        </w:numPr>
      </w:pPr>
      <w:r>
        <w:t xml:space="preserve">Device posture</w:t>
      </w:r>
    </w:p>
    <w:p>
      <w:pPr>
        <w:pStyle w:val="Compact"/>
        <w:numPr>
          <w:ilvl w:val="0"/>
          <w:numId w:val="1008"/>
        </w:numPr>
      </w:pPr>
      <w:r>
        <w:t xml:space="preserve">Path quality</w:t>
      </w:r>
    </w:p>
    <w:p>
      <w:pPr>
        <w:pStyle w:val="Compact"/>
        <w:numPr>
          <w:ilvl w:val="0"/>
          <w:numId w:val="1008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liance-mapping"/>
    <w:p>
      <w:pPr>
        <w:pStyle w:val="Heading2"/>
      </w:pPr>
      <w:r>
        <w:t xml:space="preserve">1.8 8. Compliance Mapping</w:t>
      </w:r>
    </w:p>
    <w:bookmarkStart w:id="43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unified architecture supports:</w:t>
      </w:r>
    </w:p>
    <w:p>
      <w:pPr>
        <w:pStyle w:val="Compact"/>
        <w:numPr>
          <w:ilvl w:val="0"/>
          <w:numId w:val="1009"/>
        </w:numPr>
      </w:pPr>
      <w:r>
        <w:t xml:space="preserve">Class C (Moderate)</w:t>
      </w:r>
    </w:p>
    <w:p>
      <w:pPr>
        <w:pStyle w:val="Compact"/>
        <w:numPr>
          <w:ilvl w:val="0"/>
          <w:numId w:val="1009"/>
        </w:numPr>
      </w:pPr>
      <w:r>
        <w:t xml:space="preserve">Telemetry-based validation</w:t>
      </w:r>
    </w:p>
    <w:p>
      <w:pPr>
        <w:pStyle w:val="Compact"/>
        <w:numPr>
          <w:ilvl w:val="0"/>
          <w:numId w:val="1009"/>
        </w:numPr>
      </w:pPr>
      <w:r>
        <w:t xml:space="preserve">OSCAL machine-readability</w:t>
      </w:r>
    </w:p>
    <w:p>
      <w:pPr>
        <w:pStyle w:val="Compact"/>
        <w:numPr>
          <w:ilvl w:val="0"/>
          <w:numId w:val="1009"/>
        </w:numPr>
      </w:pPr>
      <w:r>
        <w:t xml:space="preserve">Automated evidence generation</w:t>
      </w:r>
    </w:p>
    <w:bookmarkEnd w:id="43"/>
    <w:bookmarkStart w:id="44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4"/>
    <w:bookmarkStart w:id="45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0"/>
        </w:numPr>
      </w:pPr>
      <w:r>
        <w:t xml:space="preserve">KSI-IAM</w:t>
      </w:r>
    </w:p>
    <w:p>
      <w:pPr>
        <w:pStyle w:val="Compact"/>
        <w:numPr>
          <w:ilvl w:val="0"/>
          <w:numId w:val="1010"/>
        </w:numPr>
      </w:pPr>
      <w:r>
        <w:t xml:space="preserve">KSI-PIY</w:t>
      </w:r>
    </w:p>
    <w:p>
      <w:pPr>
        <w:pStyle w:val="Compact"/>
        <w:numPr>
          <w:ilvl w:val="0"/>
          <w:numId w:val="1010"/>
        </w:numPr>
      </w:pPr>
      <w:r>
        <w:t xml:space="preserve">KSI-MLA</w:t>
      </w:r>
    </w:p>
    <w:p>
      <w:pPr>
        <w:pStyle w:val="Compact"/>
        <w:numPr>
          <w:ilvl w:val="0"/>
          <w:numId w:val="1010"/>
        </w:numPr>
      </w:pPr>
      <w:r>
        <w:t xml:space="preserve">KSI-SVC</w:t>
      </w:r>
    </w:p>
    <w:p>
      <w:pPr>
        <w:pStyle w:val="Compact"/>
        <w:numPr>
          <w:ilvl w:val="0"/>
          <w:numId w:val="1010"/>
        </w:numPr>
      </w:pPr>
      <w:r>
        <w:t xml:space="preserve">KSI-CMT</w:t>
      </w:r>
    </w:p>
    <w:p>
      <w:pPr>
        <w:pStyle w:val="Compact"/>
        <w:numPr>
          <w:ilvl w:val="0"/>
          <w:numId w:val="1010"/>
        </w:numPr>
      </w:pPr>
      <w:r>
        <w:t xml:space="preserve">KSI-CNA</w:t>
      </w:r>
    </w:p>
    <w:p>
      <w:pPr>
        <w:pStyle w:val="Compact"/>
        <w:numPr>
          <w:ilvl w:val="0"/>
          <w:numId w:val="1010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dependencies-sequencing"/>
    <w:p>
      <w:pPr>
        <w:pStyle w:val="Heading2"/>
      </w:pPr>
      <w:r>
        <w:t xml:space="preserve">1.9 9. Dependencies &amp; Sequencing</w:t>
      </w:r>
    </w:p>
    <w:bookmarkStart w:id="47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1"/>
        </w:numPr>
      </w:pPr>
      <w:r>
        <w:t xml:space="preserve">HRIS</w:t>
      </w:r>
    </w:p>
    <w:p>
      <w:pPr>
        <w:pStyle w:val="Compact"/>
        <w:numPr>
          <w:ilvl w:val="0"/>
          <w:numId w:val="1011"/>
        </w:numPr>
      </w:pPr>
      <w:r>
        <w:t xml:space="preserve">PKI</w:t>
      </w:r>
    </w:p>
    <w:p>
      <w:pPr>
        <w:pStyle w:val="Compact"/>
        <w:numPr>
          <w:ilvl w:val="0"/>
          <w:numId w:val="1011"/>
        </w:numPr>
      </w:pPr>
      <w:r>
        <w:t xml:space="preserve">CMDB</w:t>
      </w:r>
    </w:p>
    <w:p>
      <w:pPr>
        <w:pStyle w:val="Compact"/>
        <w:numPr>
          <w:ilvl w:val="0"/>
          <w:numId w:val="1011"/>
        </w:numPr>
      </w:pPr>
      <w:r>
        <w:t xml:space="preserve">Network underlay</w:t>
      </w:r>
    </w:p>
    <w:bookmarkEnd w:id="47"/>
    <w:bookmarkStart w:id="48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2"/>
        </w:numPr>
      </w:pPr>
      <w:r>
        <w:t xml:space="preserve">Modernization project plans (A-D)</w:t>
      </w:r>
    </w:p>
    <w:p>
      <w:pPr>
        <w:pStyle w:val="Compact"/>
        <w:numPr>
          <w:ilvl w:val="0"/>
          <w:numId w:val="1012"/>
        </w:numPr>
      </w:pPr>
      <w:r>
        <w:t xml:space="preserve">FedRAMP crosswalk</w:t>
      </w:r>
    </w:p>
    <w:p>
      <w:pPr>
        <w:pStyle w:val="Compact"/>
        <w:numPr>
          <w:ilvl w:val="0"/>
          <w:numId w:val="1012"/>
        </w:numPr>
      </w:pPr>
      <w:r>
        <w:t xml:space="preserve">Leadership briefing</w:t>
      </w:r>
    </w:p>
    <w:p>
      <w:pPr>
        <w:pStyle w:val="Compact"/>
        <w:numPr>
          <w:ilvl w:val="0"/>
          <w:numId w:val="1012"/>
        </w:numPr>
      </w:pPr>
      <w:r>
        <w:t xml:space="preserve">TIC 3.0 use cases</w:t>
      </w:r>
    </w:p>
    <w:bookmarkEnd w:id="48"/>
    <w:bookmarkStart w:id="49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maps to all phases of the modernization timeline.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Analysis table is embedded in Section 6.4. Control Plane Alignment table is in Section 4.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Unifiedarchitecture</dc:title>
  <dc:creator>UIAO Modernization Program</dc:creator>
  <dc:language>en</dc:language>
  <cp:keywords/>
  <dcterms:created xsi:type="dcterms:W3CDTF">2026-03-31T17:37:17Z</dcterms:created>
  <dcterms:modified xsi:type="dcterms:W3CDTF">2026-03-31T17:37:17Z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