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 Canonspecification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89d27089b9e35464a3fe4ccca1d49cbbcbaeb69"/>
    <w:p>
      <w:pPr>
        <w:pStyle w:val="Heading1"/>
      </w:pPr>
      <w:r>
        <w:t xml:space="preserve">1. Unified Identity-Addressing-Overlay Architecture (UIAO)</w:t>
      </w:r>
    </w:p>
    <w:bookmarkStart w:id="20" w:name="canon-specification"/>
    <w:p>
      <w:pPr>
        <w:pStyle w:val="Heading2"/>
      </w:pPr>
      <w:r>
        <w:t xml:space="preserve">1.1 Canon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Plane(s)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Canon Volume (01_Canon)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defines the UIAO Canon — the doctrinal, architectural, and operational framework that explains why federal IT is structurally frozen and what must change to achieve a modern, identity-driven, telemetry-informed enterprise. It establishes the modernization canon, the source-of-authority domains, the runtime model, and the conditions required for deterministic, cross-agency interoperability.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Canon thesis and modernization rationale</w:t>
      </w:r>
    </w:p>
    <w:p>
      <w:pPr>
        <w:pStyle w:val="Compact"/>
        <w:numPr>
          <w:ilvl w:val="0"/>
          <w:numId w:val="1001"/>
        </w:numPr>
      </w:pPr>
      <w:r>
        <w:t xml:space="preserve">Structural constraints of federal IT</w:t>
      </w:r>
    </w:p>
    <w:p>
      <w:pPr>
        <w:pStyle w:val="Compact"/>
        <w:numPr>
          <w:ilvl w:val="0"/>
          <w:numId w:val="1001"/>
        </w:numPr>
      </w:pPr>
      <w:r>
        <w:t xml:space="preserve">The 17-Point Modernization Canon</w:t>
      </w:r>
    </w:p>
    <w:p>
      <w:pPr>
        <w:pStyle w:val="Compact"/>
        <w:numPr>
          <w:ilvl w:val="0"/>
          <w:numId w:val="1001"/>
        </w:numPr>
      </w:pPr>
      <w:r>
        <w:t xml:space="preserve">Source-of-Authority domains</w:t>
      </w:r>
    </w:p>
    <w:p>
      <w:pPr>
        <w:pStyle w:val="Compact"/>
        <w:numPr>
          <w:ilvl w:val="0"/>
          <w:numId w:val="1001"/>
        </w:numPr>
      </w:pPr>
      <w:r>
        <w:t xml:space="preserve">Runtime model and determinism</w:t>
      </w:r>
    </w:p>
    <w:p>
      <w:pPr>
        <w:pStyle w:val="Compact"/>
        <w:numPr>
          <w:ilvl w:val="0"/>
          <w:numId w:val="1001"/>
        </w:numPr>
      </w:pPr>
      <w:r>
        <w:t xml:space="preserve">Identity fragmentation analysis</w:t>
      </w:r>
    </w:p>
    <w:p>
      <w:pPr>
        <w:pStyle w:val="Compact"/>
        <w:numPr>
          <w:ilvl w:val="0"/>
          <w:numId w:val="1001"/>
        </w:numPr>
      </w:pPr>
      <w:r>
        <w:t xml:space="preserve">Compliance drivers and cost of inaction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Plane-specific architecture (see</w:t>
      </w:r>
      <w:r>
        <w:t xml:space="preserve"> </w:t>
      </w:r>
      <w:r>
        <w:rPr>
          <w:rStyle w:val="VerbatimChar"/>
        </w:rPr>
        <w:t xml:space="preserve">00_ControlPlaneArchitecture.md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Unified architecture model (see</w:t>
      </w:r>
      <w:r>
        <w:t xml:space="preserve"> </w:t>
      </w:r>
      <w:r>
        <w:rPr>
          <w:rStyle w:val="VerbatimChar"/>
        </w:rPr>
        <w:t xml:space="preserve">01_UnifiedArchitecture.md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Project plans and timelines</w:t>
      </w:r>
    </w:p>
    <w:p>
      <w:pPr>
        <w:pStyle w:val="Compact"/>
        <w:numPr>
          <w:ilvl w:val="0"/>
          <w:numId w:val="1002"/>
        </w:numPr>
      </w:pPr>
      <w:r>
        <w:t xml:space="preserve">Vendor-specific implementation details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The canon governs all six UIAO control planes: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Canonical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Root namespace and assurance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Transport, segmentation, and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Deterministic IPAM and DNS/DHCP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&amp; Location</w:t>
            </w:r>
          </w:p>
        </w:tc>
        <w:tc>
          <w:tcPr/>
          <w:p>
            <w:pPr>
              <w:pStyle w:val="Compact"/>
            </w:pPr>
            <w:r>
              <w:t xml:space="preserve">Truth source for runtime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Zero Trust enforcement and FedRAMP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Governance, drift detection, and continuous authorization</w:t>
            </w:r>
          </w:p>
        </w:tc>
      </w:tr>
    </w:tbl>
    <w:p>
      <w:pPr>
        <w:pStyle w:val="BodyText"/>
      </w:pPr>
      <w:r>
        <w:t xml:space="preserve">The canon defines the principles that govern these planes.</w:t>
      </w:r>
    </w:p>
    <w:p>
      <w:r>
        <w:pict>
          <v:rect style="width:0;height:1.5pt" o:hralign="center" o:hrstd="t" o:hr="t"/>
        </w:pict>
      </w:r>
    </w:p>
    <w:bookmarkEnd w:id="25"/>
    <w:bookmarkStart w:id="26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canon is anchored in the Seven Core Concepts, which define the philosophical and operational foundation of UIAO:</w:t>
      </w:r>
    </w:p>
    <w:p>
      <w:pPr>
        <w:pStyle w:val="Compact"/>
        <w:numPr>
          <w:ilvl w:val="0"/>
          <w:numId w:val="1003"/>
        </w:numPr>
      </w:pPr>
      <w:r>
        <w:t xml:space="preserve">Conversation as the atomic unit</w:t>
      </w:r>
    </w:p>
    <w:p>
      <w:pPr>
        <w:pStyle w:val="Compact"/>
        <w:numPr>
          <w:ilvl w:val="0"/>
          <w:numId w:val="1003"/>
        </w:numPr>
      </w:pPr>
      <w:r>
        <w:t xml:space="preserve">Identity as the root namespace</w:t>
      </w:r>
    </w:p>
    <w:p>
      <w:pPr>
        <w:pStyle w:val="Compact"/>
        <w:numPr>
          <w:ilvl w:val="0"/>
          <w:numId w:val="1003"/>
        </w:numPr>
      </w:pPr>
      <w:r>
        <w:t xml:space="preserve">Deterministic addressing</w:t>
      </w:r>
    </w:p>
    <w:p>
      <w:pPr>
        <w:pStyle w:val="Compact"/>
        <w:numPr>
          <w:ilvl w:val="0"/>
          <w:numId w:val="1003"/>
        </w:numPr>
      </w:pPr>
      <w:r>
        <w:t xml:space="preserve">Certificate-anchored overlay</w:t>
      </w:r>
    </w:p>
    <w:p>
      <w:pPr>
        <w:pStyle w:val="Compact"/>
        <w:numPr>
          <w:ilvl w:val="0"/>
          <w:numId w:val="1003"/>
        </w:numPr>
      </w:pPr>
      <w:r>
        <w:t xml:space="preserve">Telemetry as control</w:t>
      </w:r>
    </w:p>
    <w:p>
      <w:pPr>
        <w:pStyle w:val="Compact"/>
        <w:numPr>
          <w:ilvl w:val="0"/>
          <w:numId w:val="1003"/>
        </w:numPr>
      </w:pPr>
      <w:r>
        <w:t xml:space="preserve">Embedded governance &amp; automation</w:t>
      </w:r>
    </w:p>
    <w:p>
      <w:pPr>
        <w:pStyle w:val="Compact"/>
        <w:numPr>
          <w:ilvl w:val="0"/>
          <w:numId w:val="1003"/>
        </w:numPr>
      </w:pPr>
      <w:r>
        <w:t xml:space="preserve">Public service first</w:t>
      </w:r>
    </w:p>
    <w:p>
      <w:pPr>
        <w:pStyle w:val="FirstParagraph"/>
      </w:pPr>
      <w:r>
        <w:t xml:space="preserve">These concepts are frozen and must appear identically across all UIAO documents.</w:t>
      </w:r>
    </w:p>
    <w:p>
      <w:r>
        <w:pict>
          <v:rect style="width:0;height:1.5pt" o:hralign="center" o:hrstd="t" o:hr="t"/>
        </w:pict>
      </w:r>
    </w:p>
    <w:bookmarkEnd w:id="26"/>
    <w:bookmarkStart w:id="33" w:name="architecture-model"/>
    <w:p>
      <w:pPr>
        <w:pStyle w:val="Heading2"/>
      </w:pPr>
      <w:r>
        <w:t xml:space="preserve">1.6 6. Architecture Model</w:t>
      </w:r>
    </w:p>
    <w:bookmarkStart w:id="27" w:name="core-thesis"/>
    <w:p>
      <w:pPr>
        <w:pStyle w:val="Heading3"/>
      </w:pPr>
      <w:r>
        <w:t xml:space="preserve">1.6.1 6.1 Core Thesis</w:t>
      </w:r>
    </w:p>
    <w:p>
      <w:pPr>
        <w:pStyle w:val="FirstParagraph"/>
      </w:pPr>
      <w:r>
        <w:t xml:space="preserve">Federal IT is structurally frozen at the Client/Server L2-L4 perimeter era.</w:t>
      </w:r>
    </w:p>
    <w:p>
      <w:pPr>
        <w:pStyle w:val="BodyText"/>
      </w:pPr>
      <w:r>
        <w:t xml:space="preserve">Identity-forward modernization — where identity becomes the root namespace and primary security perimeter — is the only viable path forward.</w:t>
      </w:r>
    </w:p>
    <w:bookmarkEnd w:id="27"/>
    <w:bookmarkStart w:id="28" w:name="why-incremental-patching-fails"/>
    <w:p>
      <w:pPr>
        <w:pStyle w:val="Heading3"/>
      </w:pPr>
      <w:r>
        <w:t xml:space="preserve">1.6.2 6.2 Why Incremental Patching Fails</w:t>
      </w:r>
    </w:p>
    <w:p>
      <w:pPr>
        <w:pStyle w:val="FirstParagraph"/>
      </w:pPr>
      <w:r>
        <w:t xml:space="preserve">Federal environments are constrained by five systemic failures: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Frozen State</w:t>
            </w:r>
          </w:p>
        </w:tc>
        <w:tc>
          <w:tcPr/>
          <w:p>
            <w:pPr>
              <w:pStyle w:val="Compact"/>
            </w:pPr>
            <w:r>
              <w:t xml:space="preserve">Required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inverted-identity</w:t>
            </w:r>
          </w:p>
        </w:tc>
        <w:tc>
          <w:tcPr/>
          <w:p>
            <w:pPr>
              <w:pStyle w:val="Compact"/>
            </w:pPr>
            <w:r>
              <w:t xml:space="preserve">Authenticate once</w:t>
            </w:r>
          </w:p>
        </w:tc>
        <w:tc>
          <w:tcPr/>
          <w:p>
            <w:pPr>
              <w:pStyle w:val="Compact"/>
            </w:pPr>
            <w:r>
              <w:t xml:space="preserve">Continuous identity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backwards-trust</w:t>
            </w:r>
          </w:p>
        </w:tc>
        <w:tc>
          <w:tcPr/>
          <w:p>
            <w:pPr>
              <w:pStyle w:val="Compact"/>
            </w:pPr>
            <w:r>
              <w:t xml:space="preserve">Inside = trusted</w:t>
            </w:r>
          </w:p>
        </w:tc>
        <w:tc>
          <w:tcPr/>
          <w:p>
            <w:pPr>
              <w:pStyle w:val="Compact"/>
            </w:pPr>
            <w:r>
              <w:t xml:space="preserve">Trust nothing, verify everything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disconnected-telemetry</w:t>
            </w:r>
          </w:p>
        </w:tc>
        <w:tc>
          <w:tcPr/>
          <w:p>
            <w:pPr>
              <w:pStyle w:val="Compact"/>
            </w:pPr>
            <w:r>
              <w:t xml:space="preserve">Siloed logs</w:t>
            </w:r>
          </w:p>
        </w:tc>
        <w:tc>
          <w:tcPr/>
          <w:p>
            <w:pPr>
              <w:pStyle w:val="Compact"/>
            </w:pPr>
            <w:r>
              <w:t xml:space="preserve">Conversation-level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manual-governance</w:t>
            </w:r>
          </w:p>
        </w:tc>
        <w:tc>
          <w:tcPr/>
          <w:p>
            <w:pPr>
              <w:pStyle w:val="Compact"/>
            </w:pPr>
            <w:r>
              <w:t xml:space="preserve">Human review cycles</w:t>
            </w:r>
          </w:p>
        </w:tc>
        <w:tc>
          <w:tcPr/>
          <w:p>
            <w:pPr>
              <w:pStyle w:val="Compact"/>
            </w:pPr>
            <w:r>
              <w:t xml:space="preserve">Automated enforcement at machine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no-data-control-plane</w:t>
            </w:r>
          </w:p>
        </w:tc>
        <w:tc>
          <w:tcPr/>
          <w:p>
            <w:pPr>
              <w:pStyle w:val="Compact"/>
            </w:pPr>
            <w:r>
              <w:t xml:space="preserve">Perimeter-based data protection</w:t>
            </w:r>
          </w:p>
        </w:tc>
        <w:tc>
          <w:tcPr/>
          <w:p>
            <w:pPr>
              <w:pStyle w:val="Compact"/>
            </w:pPr>
            <w:r>
              <w:t xml:space="preserve">Data-level controls that travel with data</w:t>
            </w:r>
          </w:p>
        </w:tc>
      </w:tr>
    </w:tbl>
    <w:p>
      <w:pPr>
        <w:pStyle w:val="BodyText"/>
      </w:pPr>
      <w:r>
        <w:t xml:space="preserve">Incremental patching cannot overcome these structural constraints.</w:t>
      </w:r>
    </w:p>
    <w:bookmarkEnd w:id="28"/>
    <w:bookmarkStart w:id="32" w:name="the-17-point-modernization-canon"/>
    <w:p>
      <w:pPr>
        <w:pStyle w:val="Heading3"/>
      </w:pPr>
      <w:r>
        <w:t xml:space="preserve">1.6.3 6.3 The 17-Point Modernization Canon</w:t>
      </w:r>
    </w:p>
    <w:p>
      <w:pPr>
        <w:pStyle w:val="FirstParagraph"/>
      </w:pPr>
      <w:r>
        <w:t xml:space="preserve">The canon is organized into three tiers:</w:t>
      </w:r>
    </w:p>
    <w:bookmarkStart w:id="29" w:name="tier-1-historical-foundations"/>
    <w:p>
      <w:pPr>
        <w:pStyle w:val="Heading4"/>
      </w:pPr>
      <w:r>
        <w:t xml:space="preserve">1.6.3.1 Tier 1 — Historical Foundations</w:t>
      </w:r>
    </w:p>
    <w:p>
      <w:pPr>
        <w:pStyle w:val="Compact"/>
        <w:numPr>
          <w:ilvl w:val="0"/>
          <w:numId w:val="1004"/>
        </w:numPr>
      </w:pPr>
      <w:r>
        <w:t xml:space="preserve">Evolution of compute, networking, and cybersecurity</w:t>
      </w:r>
    </w:p>
    <w:p>
      <w:pPr>
        <w:pStyle w:val="Compact"/>
        <w:numPr>
          <w:ilvl w:val="0"/>
          <w:numId w:val="1004"/>
        </w:numPr>
      </w:pPr>
      <w:r>
        <w:t xml:space="preserve">Federal freeze points</w:t>
      </w:r>
    </w:p>
    <w:p>
      <w:pPr>
        <w:pStyle w:val="Compact"/>
        <w:numPr>
          <w:ilvl w:val="0"/>
          <w:numId w:val="1004"/>
        </w:numPr>
      </w:pPr>
      <w:r>
        <w:t xml:space="preserve">Legacy perimeter architectures</w:t>
      </w:r>
    </w:p>
    <w:p>
      <w:pPr>
        <w:pStyle w:val="Compact"/>
        <w:numPr>
          <w:ilvl w:val="0"/>
          <w:numId w:val="1004"/>
        </w:numPr>
      </w:pPr>
      <w:r>
        <w:t xml:space="preserve">Fragmented identity regimes</w:t>
      </w:r>
    </w:p>
    <w:bookmarkEnd w:id="29"/>
    <w:bookmarkStart w:id="30" w:name="tier-2-structural-constraints"/>
    <w:p>
      <w:pPr>
        <w:pStyle w:val="Heading4"/>
      </w:pPr>
      <w:r>
        <w:t xml:space="preserve">1.6.3.2 Tier 2 — Structural Constraints</w:t>
      </w:r>
    </w:p>
    <w:p>
      <w:pPr>
        <w:pStyle w:val="Compact"/>
        <w:numPr>
          <w:ilvl w:val="0"/>
          <w:numId w:val="1005"/>
        </w:numPr>
      </w:pPr>
      <w:r>
        <w:t xml:space="preserve">Bureaucratic overlays</w:t>
      </w:r>
    </w:p>
    <w:p>
      <w:pPr>
        <w:pStyle w:val="Compact"/>
        <w:numPr>
          <w:ilvl w:val="0"/>
          <w:numId w:val="1005"/>
        </w:numPr>
      </w:pPr>
      <w:r>
        <w:t xml:space="preserve">Funding model mismatches</w:t>
      </w:r>
    </w:p>
    <w:p>
      <w:pPr>
        <w:pStyle w:val="Compact"/>
        <w:numPr>
          <w:ilvl w:val="0"/>
          <w:numId w:val="1005"/>
        </w:numPr>
      </w:pPr>
      <w:r>
        <w:t xml:space="preserve">L2-L4 vs L5-L7 architectural gaps</w:t>
      </w:r>
    </w:p>
    <w:p>
      <w:pPr>
        <w:pStyle w:val="Compact"/>
        <w:numPr>
          <w:ilvl w:val="0"/>
          <w:numId w:val="1005"/>
        </w:numPr>
      </w:pPr>
      <w:r>
        <w:t xml:space="preserve">Siloed governance and telemetry</w:t>
      </w:r>
    </w:p>
    <w:p>
      <w:pPr>
        <w:pStyle w:val="Compact"/>
        <w:numPr>
          <w:ilvl w:val="0"/>
          <w:numId w:val="1005"/>
        </w:numPr>
      </w:pPr>
      <w:r>
        <w:t xml:space="preserve">Source-of-truth fragmentation</w:t>
      </w:r>
    </w:p>
    <w:bookmarkEnd w:id="30"/>
    <w:bookmarkStart w:id="31" w:name="tier-3-modern-requirements"/>
    <w:p>
      <w:pPr>
        <w:pStyle w:val="Heading4"/>
      </w:pPr>
      <w:r>
        <w:t xml:space="preserve">1.6.3.3 Tier 3 — Modern Requirements</w:t>
      </w:r>
    </w:p>
    <w:p>
      <w:pPr>
        <w:pStyle w:val="Compact"/>
        <w:numPr>
          <w:ilvl w:val="0"/>
          <w:numId w:val="1006"/>
        </w:numPr>
      </w:pPr>
      <w:r>
        <w:t xml:space="preserve">Telemetry and location as mandatory inputs</w:t>
      </w:r>
    </w:p>
    <w:p>
      <w:pPr>
        <w:pStyle w:val="Compact"/>
        <w:numPr>
          <w:ilvl w:val="0"/>
          <w:numId w:val="1006"/>
        </w:numPr>
      </w:pPr>
      <w:r>
        <w:t xml:space="preserve">Identity as the root namespace</w:t>
      </w:r>
    </w:p>
    <w:p>
      <w:pPr>
        <w:pStyle w:val="Compact"/>
        <w:numPr>
          <w:ilvl w:val="0"/>
          <w:numId w:val="1006"/>
        </w:numPr>
      </w:pPr>
      <w:r>
        <w:t xml:space="preserve">Deterministic addressing</w:t>
      </w:r>
    </w:p>
    <w:p>
      <w:pPr>
        <w:pStyle w:val="Compact"/>
        <w:numPr>
          <w:ilvl w:val="0"/>
          <w:numId w:val="1006"/>
        </w:numPr>
      </w:pPr>
      <w:r>
        <w:t xml:space="preserve">Certificate-anchored overlays</w:t>
      </w:r>
    </w:p>
    <w:p>
      <w:pPr>
        <w:pStyle w:val="Compact"/>
        <w:numPr>
          <w:ilvl w:val="0"/>
          <w:numId w:val="1006"/>
        </w:numPr>
      </w:pPr>
      <w:r>
        <w:t xml:space="preserve">AI-assisted correlation</w:t>
      </w:r>
    </w:p>
    <w:p>
      <w:pPr>
        <w:pStyle w:val="Compact"/>
        <w:numPr>
          <w:ilvl w:val="0"/>
          <w:numId w:val="1006"/>
        </w:numPr>
      </w:pPr>
      <w:r>
        <w:t xml:space="preserve">Inter-agency truth fabric</w:t>
      </w:r>
    </w:p>
    <w:p>
      <w:pPr>
        <w:pStyle w:val="Compact"/>
        <w:numPr>
          <w:ilvl w:val="0"/>
          <w:numId w:val="1006"/>
        </w:numPr>
      </w:pPr>
      <w:r>
        <w:t xml:space="preserve">Data as perimeter</w:t>
      </w:r>
    </w:p>
    <w:p>
      <w:pPr>
        <w:pStyle w:val="Compact"/>
        <w:numPr>
          <w:ilvl w:val="0"/>
          <w:numId w:val="1006"/>
        </w:numPr>
      </w:pPr>
      <w:r>
        <w:t xml:space="preserve">Modernized risk models</w:t>
      </w:r>
    </w:p>
    <w:p>
      <w:pPr>
        <w:pStyle w:val="FirstParagraph"/>
      </w:pPr>
      <w:r>
        <w:t xml:space="preserve">These 17 points form the doctrinal spine of UIAO.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UIAO operates on conversations as the atomic unit of runtime behavior.</w:t>
      </w:r>
    </w:p>
    <w:bookmarkStart w:id="34" w:name="conversation-flow"/>
    <w:p>
      <w:pPr>
        <w:pStyle w:val="Heading3"/>
      </w:pPr>
      <w:r>
        <w:t xml:space="preserve">1.7.1 7.1 Conversation Flow</w:t>
      </w:r>
    </w:p>
    <w:p>
      <w:pPr>
        <w:pStyle w:val="Compact"/>
        <w:numPr>
          <w:ilvl w:val="0"/>
          <w:numId w:val="1007"/>
        </w:numPr>
      </w:pPr>
      <w:r>
        <w:t xml:space="preserve">Identity initiates</w:t>
      </w:r>
    </w:p>
    <w:p>
      <w:pPr>
        <w:pStyle w:val="Compact"/>
        <w:numPr>
          <w:ilvl w:val="0"/>
          <w:numId w:val="1007"/>
        </w:numPr>
      </w:pPr>
      <w:r>
        <w:t xml:space="preserve">Addressing binds</w:t>
      </w:r>
    </w:p>
    <w:p>
      <w:pPr>
        <w:pStyle w:val="Compact"/>
        <w:numPr>
          <w:ilvl w:val="0"/>
          <w:numId w:val="1007"/>
        </w:numPr>
      </w:pPr>
      <w:r>
        <w:t xml:space="preserve">Certificates authenticate</w:t>
      </w:r>
    </w:p>
    <w:p>
      <w:pPr>
        <w:pStyle w:val="Compact"/>
        <w:numPr>
          <w:ilvl w:val="0"/>
          <w:numId w:val="1007"/>
        </w:numPr>
      </w:pPr>
      <w:r>
        <w:t xml:space="preserve">Overlay establishes path</w:t>
      </w:r>
    </w:p>
    <w:p>
      <w:pPr>
        <w:pStyle w:val="Compact"/>
        <w:numPr>
          <w:ilvl w:val="0"/>
          <w:numId w:val="1007"/>
        </w:numPr>
      </w:pPr>
      <w:r>
        <w:t xml:space="preserve">Telemetry validates</w:t>
      </w:r>
    </w:p>
    <w:p>
      <w:pPr>
        <w:pStyle w:val="Compact"/>
        <w:numPr>
          <w:ilvl w:val="0"/>
          <w:numId w:val="1007"/>
        </w:numPr>
      </w:pPr>
      <w:r>
        <w:t xml:space="preserve">Policy evaluates continuously</w:t>
      </w:r>
    </w:p>
    <w:bookmarkEnd w:id="34"/>
    <w:bookmarkStart w:id="35" w:name="determinism"/>
    <w:p>
      <w:pPr>
        <w:pStyle w:val="Heading3"/>
      </w:pPr>
      <w:r>
        <w:t xml:space="preserve">1.7.2 7.2 Determinism</w:t>
      </w:r>
    </w:p>
    <w:p>
      <w:pPr>
        <w:pStyle w:val="FirstParagraph"/>
      </w:pPr>
      <w:r>
        <w:t xml:space="preserve">Given identical identity, boundary, telemetry, and assurance inputs, the system must produce the same decision across:</w:t>
      </w:r>
    </w:p>
    <w:p>
      <w:pPr>
        <w:pStyle w:val="Compact"/>
        <w:numPr>
          <w:ilvl w:val="0"/>
          <w:numId w:val="1008"/>
        </w:numPr>
      </w:pPr>
      <w:r>
        <w:t xml:space="preserve">Clouds</w:t>
      </w:r>
    </w:p>
    <w:p>
      <w:pPr>
        <w:pStyle w:val="Compact"/>
        <w:numPr>
          <w:ilvl w:val="0"/>
          <w:numId w:val="1008"/>
        </w:numPr>
      </w:pPr>
      <w:r>
        <w:t xml:space="preserve">Agencies</w:t>
      </w:r>
    </w:p>
    <w:p>
      <w:pPr>
        <w:pStyle w:val="Compact"/>
        <w:numPr>
          <w:ilvl w:val="0"/>
          <w:numId w:val="1008"/>
        </w:numPr>
      </w:pPr>
      <w:r>
        <w:t xml:space="preserve">Implementations</w:t>
      </w:r>
    </w:p>
    <w:bookmarkEnd w:id="35"/>
    <w:bookmarkStart w:id="36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Telemetry modifies routing, access, and segmentation decisions in real time.</w:t>
      </w:r>
    </w:p>
    <w:bookmarkEnd w:id="36"/>
    <w:bookmarkStart w:id="37" w:name="assurance-signals"/>
    <w:p>
      <w:pPr>
        <w:pStyle w:val="Heading3"/>
      </w:pPr>
      <w:r>
        <w:t xml:space="preserve">1.7.4 7.4 Assurance Signals</w:t>
      </w:r>
    </w:p>
    <w:p>
      <w:pPr>
        <w:pStyle w:val="Compact"/>
        <w:numPr>
          <w:ilvl w:val="0"/>
          <w:numId w:val="1009"/>
        </w:numPr>
      </w:pPr>
      <w:r>
        <w:t xml:space="preserve">Identity assurance</w:t>
      </w:r>
    </w:p>
    <w:p>
      <w:pPr>
        <w:pStyle w:val="Compact"/>
        <w:numPr>
          <w:ilvl w:val="0"/>
          <w:numId w:val="1009"/>
        </w:numPr>
      </w:pPr>
      <w:r>
        <w:t xml:space="preserve">Device posture</w:t>
      </w:r>
    </w:p>
    <w:p>
      <w:pPr>
        <w:pStyle w:val="Compact"/>
        <w:numPr>
          <w:ilvl w:val="0"/>
          <w:numId w:val="1009"/>
        </w:numPr>
      </w:pPr>
      <w:r>
        <w:t xml:space="preserve">Path quality</w:t>
      </w:r>
    </w:p>
    <w:p>
      <w:pPr>
        <w:pStyle w:val="Compact"/>
        <w:numPr>
          <w:ilvl w:val="0"/>
          <w:numId w:val="1009"/>
        </w:numPr>
      </w:pPr>
      <w:r>
        <w:t xml:space="preserve">Location inference</w:t>
      </w:r>
    </w:p>
    <w:p>
      <w:pPr>
        <w:pStyle w:val="Compact"/>
        <w:numPr>
          <w:ilvl w:val="0"/>
          <w:numId w:val="1009"/>
        </w:numPr>
      </w:pPr>
      <w:r>
        <w:t xml:space="preserve">Certificate validity</w:t>
      </w:r>
    </w:p>
    <w:p>
      <w:pPr>
        <w:pStyle w:val="FirstParagraph"/>
      </w:pPr>
      <w:r>
        <w:t xml:space="preserve">These signals drive continuous policy evaluation.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ompliance-mapping"/>
    <w:p>
      <w:pPr>
        <w:pStyle w:val="Heading2"/>
      </w:pPr>
      <w:r>
        <w:t xml:space="preserve">1.8 8. Compliance Mapping</w:t>
      </w:r>
    </w:p>
    <w:bookmarkStart w:id="39" w:name="fedramp-20x-alignment"/>
    <w:p>
      <w:pPr>
        <w:pStyle w:val="Heading3"/>
      </w:pPr>
      <w:r>
        <w:t xml:space="preserve">1.8.1 8.1 FedRAMP 20x Alignment</w:t>
      </w:r>
    </w:p>
    <w:p>
      <w:pPr>
        <w:pStyle w:val="FirstParagraph"/>
      </w:pPr>
      <w:r>
        <w:t xml:space="preserve">The canon supports:</w:t>
      </w:r>
    </w:p>
    <w:p>
      <w:pPr>
        <w:pStyle w:val="Compact"/>
        <w:numPr>
          <w:ilvl w:val="0"/>
          <w:numId w:val="1010"/>
        </w:numPr>
      </w:pPr>
      <w:r>
        <w:t xml:space="preserve">Class C (Moderate)</w:t>
      </w:r>
    </w:p>
    <w:p>
      <w:pPr>
        <w:pStyle w:val="Compact"/>
        <w:numPr>
          <w:ilvl w:val="0"/>
          <w:numId w:val="1010"/>
        </w:numPr>
      </w:pPr>
      <w:r>
        <w:t xml:space="preserve">Telemetry-based validation</w:t>
      </w:r>
    </w:p>
    <w:p>
      <w:pPr>
        <w:pStyle w:val="Compact"/>
        <w:numPr>
          <w:ilvl w:val="0"/>
          <w:numId w:val="1010"/>
        </w:numPr>
      </w:pPr>
      <w:r>
        <w:t xml:space="preserve">OSCAL machine-readability</w:t>
      </w:r>
    </w:p>
    <w:p>
      <w:pPr>
        <w:pStyle w:val="Compact"/>
        <w:numPr>
          <w:ilvl w:val="0"/>
          <w:numId w:val="1010"/>
        </w:numPr>
      </w:pPr>
      <w:r>
        <w:t xml:space="preserve">Automated evidence generation</w:t>
      </w:r>
    </w:p>
    <w:bookmarkEnd w:id="39"/>
    <w:bookmarkStart w:id="40" w:name="nist-800-53-rev-5-controls"/>
    <w:p>
      <w:pPr>
        <w:pStyle w:val="Heading3"/>
      </w:pPr>
      <w:r>
        <w:t xml:space="preserve">1.8.2 8.2 NIST 800-53 Rev 5 Controls</w:t>
      </w:r>
    </w:p>
    <w:p>
      <w:pPr>
        <w:pStyle w:val="FirstParagraph"/>
      </w:pPr>
      <w:r>
        <w:t xml:space="preserve">Mapped via the canonical crosswalk: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Information Flow Enforcement (segmentation)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IA-2</w:t>
            </w:r>
          </w:p>
        </w:tc>
        <w:tc>
          <w:tcPr/>
          <w:p>
            <w:pPr>
              <w:pStyle w:val="Compact"/>
            </w:pPr>
            <w:r>
              <w:t xml:space="preserve">Identification and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Authenticator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Information System Component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</w:t>
            </w:r>
          </w:p>
        </w:tc>
        <w:tc>
          <w:tcPr/>
          <w:p>
            <w:pPr>
              <w:pStyle w:val="Compact"/>
            </w:pPr>
            <w:r>
              <w:t xml:space="preserve">Transmission Confidentiality and Integrity (mTLS)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</w:t>
            </w:r>
          </w:p>
        </w:tc>
        <w:tc>
          <w:tcPr/>
          <w:p>
            <w:pPr>
              <w:pStyle w:val="Compact"/>
            </w:pPr>
            <w:r>
              <w:t xml:space="preserve">Information System Monitoring (telemetry)</w:t>
            </w:r>
          </w:p>
        </w:tc>
      </w:tr>
    </w:tbl>
    <w:bookmarkEnd w:id="40"/>
    <w:bookmarkStart w:id="41" w:name="ksi-categories"/>
    <w:p>
      <w:pPr>
        <w:pStyle w:val="Heading3"/>
      </w:pPr>
      <w:r>
        <w:t xml:space="preserve">1.8.3 8.3 KSI Categories</w:t>
      </w:r>
    </w:p>
    <w:p>
      <w:pPr>
        <w:pStyle w:val="Compact"/>
        <w:numPr>
          <w:ilvl w:val="0"/>
          <w:numId w:val="1011"/>
        </w:numPr>
      </w:pPr>
      <w:r>
        <w:t xml:space="preserve">KSI-IAM</w:t>
      </w:r>
    </w:p>
    <w:p>
      <w:pPr>
        <w:pStyle w:val="Compact"/>
        <w:numPr>
          <w:ilvl w:val="0"/>
          <w:numId w:val="1011"/>
        </w:numPr>
      </w:pPr>
      <w:r>
        <w:t xml:space="preserve">KSI-PIY</w:t>
      </w:r>
    </w:p>
    <w:p>
      <w:pPr>
        <w:pStyle w:val="Compact"/>
        <w:numPr>
          <w:ilvl w:val="0"/>
          <w:numId w:val="1011"/>
        </w:numPr>
      </w:pPr>
      <w:r>
        <w:t xml:space="preserve">KSI-MLA</w:t>
      </w:r>
    </w:p>
    <w:p>
      <w:pPr>
        <w:pStyle w:val="Compact"/>
        <w:numPr>
          <w:ilvl w:val="0"/>
          <w:numId w:val="1011"/>
        </w:numPr>
      </w:pPr>
      <w:r>
        <w:t xml:space="preserve">KSI-SVC</w:t>
      </w:r>
    </w:p>
    <w:p>
      <w:pPr>
        <w:pStyle w:val="Compact"/>
        <w:numPr>
          <w:ilvl w:val="0"/>
          <w:numId w:val="1011"/>
        </w:numPr>
      </w:pPr>
      <w:r>
        <w:t xml:space="preserve">KSI-CMT</w:t>
      </w:r>
    </w:p>
    <w:p>
      <w:pPr>
        <w:pStyle w:val="Compact"/>
        <w:numPr>
          <w:ilvl w:val="0"/>
          <w:numId w:val="1011"/>
        </w:numPr>
      </w:pPr>
      <w:r>
        <w:t xml:space="preserve">KSI-CNA</w:t>
      </w:r>
    </w:p>
    <w:p>
      <w:pPr>
        <w:pStyle w:val="Compact"/>
        <w:numPr>
          <w:ilvl w:val="0"/>
          <w:numId w:val="1011"/>
        </w:numPr>
      </w:pPr>
      <w:r>
        <w:t xml:space="preserve">KSI-CED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dependencies-sequencing"/>
    <w:p>
      <w:pPr>
        <w:pStyle w:val="Heading2"/>
      </w:pPr>
      <w:r>
        <w:t xml:space="preserve">1.9 9. Dependencies &amp; Sequencing</w:t>
      </w:r>
    </w:p>
    <w:bookmarkStart w:id="43" w:name="upstream-dependencies"/>
    <w:p>
      <w:pPr>
        <w:pStyle w:val="Heading3"/>
      </w:pPr>
      <w:r>
        <w:t xml:space="preserve">1.9.1 Upstream Dependencies</w:t>
      </w:r>
    </w:p>
    <w:p>
      <w:pPr>
        <w:pStyle w:val="Compact"/>
        <w:numPr>
          <w:ilvl w:val="0"/>
          <w:numId w:val="1012"/>
        </w:numPr>
      </w:pPr>
      <w:r>
        <w:t xml:space="preserve">HRIS</w:t>
      </w:r>
    </w:p>
    <w:p>
      <w:pPr>
        <w:pStyle w:val="Compact"/>
        <w:numPr>
          <w:ilvl w:val="0"/>
          <w:numId w:val="1012"/>
        </w:numPr>
      </w:pPr>
      <w:r>
        <w:t xml:space="preserve">PKI</w:t>
      </w:r>
    </w:p>
    <w:p>
      <w:pPr>
        <w:pStyle w:val="Compact"/>
        <w:numPr>
          <w:ilvl w:val="0"/>
          <w:numId w:val="1012"/>
        </w:numPr>
      </w:pPr>
      <w:r>
        <w:t xml:space="preserve">CMDB</w:t>
      </w:r>
    </w:p>
    <w:p>
      <w:pPr>
        <w:pStyle w:val="Compact"/>
        <w:numPr>
          <w:ilvl w:val="0"/>
          <w:numId w:val="1012"/>
        </w:numPr>
      </w:pPr>
      <w:r>
        <w:t xml:space="preserve">Network underlay</w:t>
      </w:r>
    </w:p>
    <w:bookmarkEnd w:id="43"/>
    <w:bookmarkStart w:id="44" w:name="downstream-dependencies"/>
    <w:p>
      <w:pPr>
        <w:pStyle w:val="Heading3"/>
      </w:pPr>
      <w:r>
        <w:t xml:space="preserve">1.9.2 Downstream Dependencies</w:t>
      </w:r>
    </w:p>
    <w:p>
      <w:pPr>
        <w:pStyle w:val="Compact"/>
        <w:numPr>
          <w:ilvl w:val="0"/>
          <w:numId w:val="1013"/>
        </w:numPr>
      </w:pPr>
      <w:r>
        <w:t xml:space="preserve">All architecture specs</w:t>
      </w:r>
    </w:p>
    <w:p>
      <w:pPr>
        <w:pStyle w:val="Compact"/>
        <w:numPr>
          <w:ilvl w:val="0"/>
          <w:numId w:val="1013"/>
        </w:numPr>
      </w:pPr>
      <w:r>
        <w:t xml:space="preserve">All project plans</w:t>
      </w:r>
    </w:p>
    <w:p>
      <w:pPr>
        <w:pStyle w:val="Compact"/>
        <w:numPr>
          <w:ilvl w:val="0"/>
          <w:numId w:val="1013"/>
        </w:numPr>
      </w:pPr>
      <w:r>
        <w:t xml:space="preserve">All modernization appendices</w:t>
      </w:r>
    </w:p>
    <w:p>
      <w:pPr>
        <w:pStyle w:val="Compact"/>
        <w:numPr>
          <w:ilvl w:val="0"/>
          <w:numId w:val="1013"/>
        </w:numPr>
      </w:pPr>
      <w:r>
        <w:t xml:space="preserve">FedRAMP crosswalk</w:t>
      </w:r>
    </w:p>
    <w:p>
      <w:pPr>
        <w:pStyle w:val="Compact"/>
        <w:numPr>
          <w:ilvl w:val="0"/>
          <w:numId w:val="1013"/>
        </w:numPr>
      </w:pPr>
      <w:r>
        <w:t xml:space="preserve">Leadership briefing</w:t>
      </w:r>
    </w:p>
    <w:bookmarkEnd w:id="44"/>
    <w:bookmarkStart w:id="45" w:name="timeline-alignment"/>
    <w:p>
      <w:pPr>
        <w:pStyle w:val="Heading3"/>
      </w:pPr>
      <w:r>
        <w:t xml:space="preserve">1.9.3 Timeline Alignment</w:t>
      </w:r>
    </w:p>
    <w:p>
      <w:pPr>
        <w:pStyle w:val="FirstParagraph"/>
      </w:pPr>
      <w:r>
        <w:t xml:space="preserve">The canon informs all phases of the modernization timeline.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governance-drift-controls"/>
    <w:p>
      <w:pPr>
        <w:pStyle w:val="Heading2"/>
      </w:pPr>
      <w:r>
        <w:t xml:space="preserve">1.10 10. Governance &amp; Drift Controls</w:t>
      </w:r>
    </w:p>
    <w:bookmarkStart w:id="47" w:name="source-of-authority-domains"/>
    <w:p>
      <w:pPr>
        <w:pStyle w:val="Heading3"/>
      </w:pPr>
      <w:r>
        <w:t xml:space="preserve">1.10.1 Source of Authority Domains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Target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human-identity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Identity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non-person-entities</w:t>
            </w:r>
          </w:p>
        </w:tc>
        <w:tc>
          <w:tcPr/>
          <w:p>
            <w:pPr>
              <w:pStyle w:val="Compact"/>
            </w:pPr>
            <w:r>
              <w:t xml:space="preserve">Service owners</w:t>
            </w:r>
          </w:p>
        </w:tc>
        <w:tc>
          <w:tcPr/>
          <w:p>
            <w:pPr>
              <w:pStyle w:val="Compact"/>
            </w:pPr>
            <w:r>
              <w:t xml:space="preserve">Identity &amp; asset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contractor-identity</w:t>
            </w:r>
          </w:p>
        </w:tc>
        <w:tc>
          <w:tcPr/>
          <w:p>
            <w:pPr>
              <w:pStyle w:val="Compact"/>
            </w:pPr>
            <w:r>
              <w:t xml:space="preserve">Contracting authority</w:t>
            </w:r>
          </w:p>
        </w:tc>
        <w:tc>
          <w:tcPr/>
          <w:p>
            <w:pPr>
              <w:pStyle w:val="Compact"/>
            </w:pPr>
            <w:r>
              <w:t xml:space="preserve">Identity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citizen-identity</w:t>
            </w:r>
          </w:p>
        </w:tc>
        <w:tc>
          <w:tcPr/>
          <w:p>
            <w:pPr>
              <w:pStyle w:val="Compact"/>
            </w:pPr>
            <w:r>
              <w:t xml:space="preserve">Citizen</w:t>
            </w:r>
          </w:p>
        </w:tc>
        <w:tc>
          <w:tcPr/>
          <w:p>
            <w:pPr>
              <w:pStyle w:val="Compact"/>
            </w:pPr>
            <w:r>
              <w:t xml:space="preserve">Federated identity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ip-addressing</w:t>
            </w:r>
          </w:p>
        </w:tc>
        <w:tc>
          <w:tcPr/>
          <w:p>
            <w:pPr>
              <w:pStyle w:val="Compact"/>
            </w:pPr>
            <w:r>
              <w:t xml:space="preserve">Network architecture</w:t>
            </w:r>
          </w:p>
        </w:tc>
        <w:tc>
          <w:tcPr/>
          <w:p>
            <w:pPr>
              <w:pStyle w:val="Compact"/>
            </w:pPr>
            <w:r>
              <w:t xml:space="preserve">IPAM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assets-configuration</w:t>
            </w:r>
          </w:p>
        </w:tc>
        <w:tc>
          <w:tcPr/>
          <w:p>
            <w:pPr>
              <w:pStyle w:val="Compact"/>
            </w:pPr>
            <w:r>
              <w:t xml:space="preserve">System owners</w:t>
            </w:r>
          </w:p>
        </w:tc>
        <w:tc>
          <w:tcPr/>
          <w:p>
            <w:pPr>
              <w:pStyle w:val="Compact"/>
            </w:pPr>
            <w:r>
              <w:t xml:space="preserve">CMDB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data-classification</w:t>
            </w:r>
          </w:p>
        </w:tc>
        <w:tc>
          <w:tcPr/>
          <w:p>
            <w:pPr>
              <w:pStyle w:val="Compact"/>
            </w:pPr>
            <w:r>
              <w:t xml:space="preserve">Data owners</w:t>
            </w:r>
          </w:p>
        </w:tc>
        <w:tc>
          <w:tcPr/>
          <w:p>
            <w:pPr>
              <w:pStyle w:val="Compact"/>
            </w:pPr>
            <w:r>
              <w:t xml:space="preserve">Policy engines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physical-location</w:t>
            </w:r>
          </w:p>
        </w:tc>
        <w:tc>
          <w:tcPr/>
          <w:p>
            <w:pPr>
              <w:pStyle w:val="Compact"/>
            </w:pPr>
            <w:r>
              <w:t xml:space="preserve">Real property</w:t>
            </w:r>
          </w:p>
        </w:tc>
        <w:tc>
          <w:tcPr/>
          <w:p>
            <w:pPr>
              <w:pStyle w:val="Compact"/>
            </w:pPr>
            <w:r>
              <w:t xml:space="preserve">Addressing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partner-authority</w:t>
            </w:r>
          </w:p>
        </w:tc>
        <w:tc>
          <w:tcPr/>
          <w:p>
            <w:pPr>
              <w:pStyle w:val="Compact"/>
            </w:pPr>
            <w:r>
              <w:t xml:space="preserve">Shared authorities</w:t>
            </w:r>
          </w:p>
        </w:tc>
        <w:tc>
          <w:tcPr/>
          <w:p>
            <w:pPr>
              <w:pStyle w:val="Compact"/>
            </w:pPr>
            <w:r>
              <w:t xml:space="preserve">Federation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credential-trust</w:t>
            </w:r>
          </w:p>
        </w:tc>
        <w:tc>
          <w:tcPr/>
          <w:p>
            <w:pPr>
              <w:pStyle w:val="Compact"/>
            </w:pPr>
            <w:r>
              <w:t xml:space="preserve">Federal PKI</w:t>
            </w:r>
          </w:p>
        </w:tc>
        <w:tc>
          <w:tcPr/>
          <w:p>
            <w:pPr>
              <w:pStyle w:val="Compact"/>
            </w:pPr>
            <w:r>
              <w:t xml:space="preserve">Certificate authorities</w:t>
            </w:r>
          </w:p>
        </w:tc>
      </w:tr>
    </w:tbl>
    <w:p>
      <w:pPr>
        <w:pStyle w:val="BodyText"/>
      </w:pPr>
      <w:r>
        <w:t xml:space="preserve">These domains define who may create, modify, or revoke data.</w:t>
      </w:r>
    </w:p>
    <w:bookmarkEnd w:id="47"/>
    <w:bookmarkStart w:id="48" w:name="drift-detection"/>
    <w:p>
      <w:pPr>
        <w:pStyle w:val="Heading3"/>
      </w:pPr>
      <w:r>
        <w:t xml:space="preserve">1.10.2 Drift Detection</w:t>
      </w:r>
    </w:p>
    <w:p>
      <w:pPr>
        <w:pStyle w:val="Compact"/>
        <w:numPr>
          <w:ilvl w:val="0"/>
          <w:numId w:val="1014"/>
        </w:numPr>
      </w:pPr>
      <w:r>
        <w:t xml:space="preserve">ServiceNow CMDB reconciliation</w:t>
      </w:r>
    </w:p>
    <w:p>
      <w:pPr>
        <w:pStyle w:val="Compact"/>
        <w:numPr>
          <w:ilvl w:val="0"/>
          <w:numId w:val="1014"/>
        </w:numPr>
      </w:pPr>
      <w:r>
        <w:t xml:space="preserve">Intune compliance</w:t>
      </w:r>
    </w:p>
    <w:p>
      <w:pPr>
        <w:pStyle w:val="Compact"/>
        <w:numPr>
          <w:ilvl w:val="0"/>
          <w:numId w:val="1014"/>
        </w:numPr>
      </w:pPr>
      <w:r>
        <w:t xml:space="preserve">SD-WAN overlay validation</w:t>
      </w:r>
    </w:p>
    <w:p>
      <w:pPr>
        <w:pStyle w:val="Compact"/>
        <w:numPr>
          <w:ilvl w:val="0"/>
          <w:numId w:val="1014"/>
        </w:numPr>
      </w:pPr>
      <w:r>
        <w:t xml:space="preserve">IPAM reconciliation</w:t>
      </w:r>
    </w:p>
    <w:bookmarkEnd w:id="48"/>
    <w:bookmarkStart w:id="49" w:name="remediation-workflow"/>
    <w:p>
      <w:pPr>
        <w:pStyle w:val="Heading3"/>
      </w:pPr>
      <w:r>
        <w:t xml:space="preserve">1.10.3 Remediation Workflow</w:t>
      </w:r>
    </w:p>
    <w:p>
      <w:pPr>
        <w:pStyle w:val="Compact"/>
        <w:numPr>
          <w:ilvl w:val="0"/>
          <w:numId w:val="1015"/>
        </w:numPr>
      </w:pPr>
      <w:r>
        <w:t xml:space="preserve">Automated ServiceNow change</w:t>
      </w:r>
    </w:p>
    <w:p>
      <w:pPr>
        <w:pStyle w:val="Compact"/>
        <w:numPr>
          <w:ilvl w:val="0"/>
          <w:numId w:val="1015"/>
        </w:numPr>
      </w:pPr>
      <w:r>
        <w:t xml:space="preserve">Conditional Access enforcement</w:t>
      </w:r>
    </w:p>
    <w:p>
      <w:pPr>
        <w:pStyle w:val="Compact"/>
        <w:numPr>
          <w:ilvl w:val="0"/>
          <w:numId w:val="1015"/>
        </w:numPr>
      </w:pPr>
      <w:r>
        <w:t xml:space="preserve">Certificate renewal</w:t>
      </w:r>
    </w:p>
    <w:p>
      <w:pPr>
        <w:pStyle w:val="Compact"/>
        <w:numPr>
          <w:ilvl w:val="0"/>
          <w:numId w:val="1015"/>
        </w:numPr>
      </w:pPr>
      <w:r>
        <w:t xml:space="preserve">IPAM correction</w:t>
      </w:r>
    </w:p>
    <w:bookmarkEnd w:id="49"/>
    <w:bookmarkStart w:id="50" w:name="audit-anchors"/>
    <w:p>
      <w:pPr>
        <w:pStyle w:val="Heading3"/>
      </w:pPr>
      <w:r>
        <w:t xml:space="preserve">1.10.4 Audit Anchors</w:t>
      </w:r>
    </w:p>
    <w:p>
      <w:pPr>
        <w:pStyle w:val="Compact"/>
        <w:numPr>
          <w:ilvl w:val="0"/>
          <w:numId w:val="1016"/>
        </w:numPr>
      </w:pPr>
      <w:r>
        <w:t xml:space="preserve">Entra ID logs</w:t>
      </w:r>
    </w:p>
    <w:p>
      <w:pPr>
        <w:pStyle w:val="Compact"/>
        <w:numPr>
          <w:ilvl w:val="0"/>
          <w:numId w:val="1016"/>
        </w:numPr>
      </w:pPr>
      <w:r>
        <w:t xml:space="preserve">Infoblox API records</w:t>
      </w:r>
    </w:p>
    <w:p>
      <w:pPr>
        <w:pStyle w:val="Compact"/>
        <w:numPr>
          <w:ilvl w:val="0"/>
          <w:numId w:val="1016"/>
        </w:numPr>
      </w:pPr>
      <w:r>
        <w:t xml:space="preserve">SD-WAN telemetry</w:t>
      </w:r>
    </w:p>
    <w:p>
      <w:pPr>
        <w:pStyle w:val="Compact"/>
        <w:numPr>
          <w:ilvl w:val="0"/>
          <w:numId w:val="1016"/>
        </w:numPr>
      </w:pPr>
      <w:r>
        <w:t xml:space="preserve">Intune compliance reports</w:t>
      </w:r>
    </w:p>
    <w:p>
      <w:pPr>
        <w:pStyle w:val="Compact"/>
        <w:numPr>
          <w:ilvl w:val="0"/>
          <w:numId w:val="1016"/>
        </w:numPr>
      </w:pPr>
      <w:r>
        <w:t xml:space="preserve">ServiceNow audit trails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appendices"/>
    <w:p>
      <w:pPr>
        <w:pStyle w:val="Heading2"/>
      </w:pPr>
      <w:r>
        <w:t xml:space="preserve">1.11 11. Appendices</w:t>
      </w:r>
    </w:p>
    <w:bookmarkStart w:id="52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52"/>
    <w:bookmarkStart w:id="53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Systemic failures table is in Section 6.2. Source of Authority Domains table is in Section 10.</w:t>
      </w:r>
    </w:p>
    <w:bookmarkEnd w:id="53"/>
    <w:bookmarkStart w:id="54" w:name="appendix-c-diagram-references"/>
    <w:p>
      <w:pPr>
        <w:pStyle w:val="Heading3"/>
      </w:pPr>
      <w:r>
        <w:t xml:space="preserve">1.11.3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54"/>
    <w:bookmarkStart w:id="55" w:name="appendix-d-crosswalk-references"/>
    <w:p>
      <w:pPr>
        <w:pStyle w:val="Heading3"/>
      </w:pPr>
      <w:r>
        <w:t xml:space="preserve">1.11.4 Appendix D: Crosswalk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data/crosswalk-index.yml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docs/fedramp22_summary_v1.0.md</w:t>
      </w:r>
      <w:r>
        <w:rPr>
          <w:i/>
          <w:iCs/>
        </w:rPr>
        <w:t xml:space="preserve">.</w:t>
      </w:r>
    </w:p>
    <w:bookmarkEnd w:id="55"/>
    <w:bookmarkStart w:id="56" w:name="appendix-e-evidence-sources"/>
    <w:p>
      <w:pPr>
        <w:pStyle w:val="Heading3"/>
      </w:pPr>
      <w:r>
        <w:t xml:space="preserve">1.11.5 Appendix E: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Canonspecification</dc:title>
  <dc:creator>UIAO Modernization Program</dc:creator>
  <dc:language>en</dc:language>
  <cp:keywords/>
  <dcterms:created xsi:type="dcterms:W3CDTF">2026-03-31T17:37:22Z</dcterms:created>
  <dcterms:modified xsi:type="dcterms:W3CDTF">2026-03-31T17:37:22Z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