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10 Directorystructure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uiao-canonical-directory-structure"/>
    <w:p>
      <w:pPr>
        <w:pStyle w:val="Heading1"/>
      </w:pPr>
      <w:r>
        <w:t xml:space="preserve">1. UIAO Canonical Directory Structure</w:t>
      </w:r>
    </w:p>
    <w:bookmarkStart w:id="20" w:name="title-page"/>
    <w:p>
      <w:pPr>
        <w:pStyle w:val="Heading2"/>
      </w:pPr>
      <w:r>
        <w:t xml:space="preserve">1.1 1. Title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Planes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Repository Structure (02_Appendices)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defines the authoritative directory structure for the Unified Identity-Addressing-Overlay (UIAO) repository. It establishes the canonical layout, naming conventions, numbering rules, and document placement required to maintain a deterministic, drift-resistant, self-navigating modernization canon.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Canonical folder structure</w:t>
      </w:r>
    </w:p>
    <w:p>
      <w:pPr>
        <w:pStyle w:val="Compact"/>
        <w:numPr>
          <w:ilvl w:val="0"/>
          <w:numId w:val="1001"/>
        </w:numPr>
      </w:pPr>
      <w:r>
        <w:t xml:space="preserve">Naming conventions</w:t>
      </w:r>
    </w:p>
    <w:p>
      <w:pPr>
        <w:pStyle w:val="Compact"/>
        <w:numPr>
          <w:ilvl w:val="0"/>
          <w:numId w:val="1001"/>
        </w:numPr>
      </w:pPr>
      <w:r>
        <w:t xml:space="preserve">Numbering rules</w:t>
      </w:r>
    </w:p>
    <w:p>
      <w:pPr>
        <w:pStyle w:val="Compact"/>
        <w:numPr>
          <w:ilvl w:val="0"/>
          <w:numId w:val="1001"/>
        </w:numPr>
      </w:pPr>
      <w:r>
        <w:t xml:space="preserve">Document placement rules</w:t>
      </w:r>
    </w:p>
    <w:p>
      <w:pPr>
        <w:pStyle w:val="Compact"/>
        <w:numPr>
          <w:ilvl w:val="0"/>
          <w:numId w:val="1001"/>
        </w:numPr>
      </w:pPr>
      <w:r>
        <w:t xml:space="preserve">Cross-reference expectations</w:t>
      </w:r>
    </w:p>
    <w:p>
      <w:pPr>
        <w:pStyle w:val="Compact"/>
        <w:numPr>
          <w:ilvl w:val="0"/>
          <w:numId w:val="1001"/>
        </w:numPr>
      </w:pPr>
      <w:r>
        <w:t xml:space="preserve">Governance and drift-control requirements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GitHub Actions workflows</w:t>
      </w:r>
    </w:p>
    <w:p>
      <w:pPr>
        <w:pStyle w:val="Compact"/>
        <w:numPr>
          <w:ilvl w:val="0"/>
          <w:numId w:val="1002"/>
        </w:numPr>
      </w:pPr>
      <w:r>
        <w:t xml:space="preserve">Build pipelines</w:t>
      </w:r>
    </w:p>
    <w:p>
      <w:pPr>
        <w:pStyle w:val="Compact"/>
        <w:numPr>
          <w:ilvl w:val="0"/>
          <w:numId w:val="1002"/>
        </w:numPr>
      </w:pPr>
      <w:r>
        <w:t xml:space="preserve">Export automation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The directory structure supports all six UIAO control planes: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Directory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Root namespace for identity-aligned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SD-WAN, segmentation, routing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IPAM, DNS/DHCP, deterministic 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and Location</w:t>
            </w:r>
          </w:p>
        </w:tc>
        <w:tc>
          <w:tcPr/>
          <w:p>
            <w:pPr>
              <w:pStyle w:val="Compact"/>
            </w:pPr>
            <w:r>
              <w:t xml:space="preserve">Telemetry, INR, E911,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and Compliance</w:t>
            </w:r>
          </w:p>
        </w:tc>
        <w:tc>
          <w:tcPr/>
          <w:p>
            <w:pPr>
              <w:pStyle w:val="Compact"/>
            </w:pPr>
            <w:r>
              <w:t xml:space="preserve">FedRAMP, TIC 3.0, SCuBA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CMDB, Intune, drift detection</w:t>
            </w:r>
          </w:p>
        </w:tc>
      </w:tr>
    </w:tbl>
    <w:p>
      <w:pPr>
        <w:pStyle w:val="BodyText"/>
      </w:pPr>
      <w:r>
        <w:t xml:space="preserve">Each plane has a predictable location in the repository.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directory structure operationalizes the Seven Core Concepts: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Conversation as the atomic unit</w:t>
      </w:r>
      <w:r>
        <w:t xml:space="preserve"> </w:t>
      </w:r>
      <w:r>
        <w:t xml:space="preserve">— Document relationships reflect runtime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as the root namespace</w:t>
      </w:r>
      <w:r>
        <w:t xml:space="preserve"> </w:t>
      </w:r>
      <w:r>
        <w:t xml:space="preserve">— Identity documents appear first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Deterministic addressing</w:t>
      </w:r>
      <w:r>
        <w:t xml:space="preserve"> </w:t>
      </w:r>
      <w:r>
        <w:t xml:space="preserve">— Numbering is deterministic and stable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Certificate-anchored overlay</w:t>
      </w:r>
      <w:r>
        <w:t xml:space="preserve"> </w:t>
      </w:r>
      <w:r>
        <w:t xml:space="preserve">— Security documents grouped consistently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 as control</w:t>
      </w:r>
      <w:r>
        <w:t xml:space="preserve"> </w:t>
      </w:r>
      <w:r>
        <w:t xml:space="preserve">— Telemetry documents grouped under compliance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Embedded governance and automation</w:t>
      </w:r>
      <w:r>
        <w:t xml:space="preserve"> </w:t>
      </w:r>
      <w:r>
        <w:t xml:space="preserve">— Structure supports automation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service first</w:t>
      </w:r>
      <w:r>
        <w:t xml:space="preserve"> </w:t>
      </w:r>
      <w:r>
        <w:t xml:space="preserve">— Clear, accessible, predictable layout</w:t>
      </w:r>
    </w:p>
    <w:p>
      <w:r>
        <w:pict>
          <v:rect style="width:0;height:1.5pt" o:hralign="center" o:hrstd="t" o:hr="t"/>
        </w:pict>
      </w:r>
    </w:p>
    <w:bookmarkEnd w:id="26"/>
    <w:bookmarkStart w:id="29" w:name="architecture-model"/>
    <w:p>
      <w:pPr>
        <w:pStyle w:val="Heading2"/>
      </w:pPr>
      <w:r>
        <w:t xml:space="preserve">1.6 6. Architecture Model</w:t>
      </w:r>
    </w:p>
    <w:bookmarkStart w:id="27" w:name="canonical-directory-layout"/>
    <w:p>
      <w:pPr>
        <w:pStyle w:val="Heading3"/>
      </w:pPr>
      <w:r>
        <w:t xml:space="preserve">1.6.1 6.1 Canonical Directory Layout</w:t>
      </w:r>
    </w:p>
    <w:p>
      <w:pPr>
        <w:pStyle w:val="FirstParagraph"/>
      </w:pPr>
      <w:r>
        <w:t xml:space="preserve">The UIAO repository uses a 12-document canon organized into four phases:</w:t>
      </w:r>
    </w:p>
    <w:p>
      <w:pPr>
        <w:pStyle w:val="SourceCode"/>
      </w:pPr>
      <w:r>
        <w:rPr>
          <w:rStyle w:val="VerbatimChar"/>
        </w:rPr>
        <w:t xml:space="preserve">/docs</w:t>
      </w:r>
      <w:r>
        <w:br/>
      </w:r>
      <w:r>
        <w:rPr>
          <w:rStyle w:val="VerbatimChar"/>
        </w:rPr>
        <w:t xml:space="preserve">   00_ControlPlaneArchitecture.md</w:t>
      </w:r>
      <w:r>
        <w:br/>
      </w:r>
      <w:r>
        <w:rPr>
          <w:rStyle w:val="VerbatimChar"/>
        </w:rPr>
        <w:t xml:space="preserve">   01_UnifiedArchitecture.md</w:t>
      </w:r>
      <w:r>
        <w:br/>
      </w:r>
      <w:r>
        <w:rPr>
          <w:rStyle w:val="VerbatimChar"/>
        </w:rPr>
        <w:t xml:space="preserve">   02_CanonSpecification.md</w:t>
      </w:r>
      <w:r>
        <w:br/>
      </w:r>
      <w:r>
        <w:br/>
      </w:r>
      <w:r>
        <w:rPr>
          <w:rStyle w:val="VerbatimChar"/>
        </w:rPr>
        <w:t xml:space="preserve">   03_FedRAMP20x_Crosswalk.md</w:t>
      </w:r>
      <w:r>
        <w:br/>
      </w:r>
      <w:r>
        <w:rPr>
          <w:rStyle w:val="VerbatimChar"/>
        </w:rPr>
        <w:t xml:space="preserve">   04_FedRAMP20x_Phase2_Summary.md</w:t>
      </w:r>
      <w:r>
        <w:br/>
      </w:r>
      <w:r>
        <w:rPr>
          <w:rStyle w:val="VerbatimChar"/>
        </w:rPr>
        <w:t xml:space="preserve">   05_ManagementStack.md</w:t>
      </w:r>
      <w:r>
        <w:br/>
      </w:r>
      <w:r>
        <w:br/>
      </w:r>
      <w:r>
        <w:rPr>
          <w:rStyle w:val="VerbatimChar"/>
        </w:rPr>
        <w:t xml:space="preserve">   06_ProgramVision.md</w:t>
      </w:r>
      <w:r>
        <w:br/>
      </w:r>
      <w:r>
        <w:rPr>
          <w:rStyle w:val="VerbatimChar"/>
        </w:rPr>
        <w:t xml:space="preserve">   07_LeadershipBriefing.md</w:t>
      </w:r>
      <w:r>
        <w:br/>
      </w:r>
      <w:r>
        <w:rPr>
          <w:rStyle w:val="VerbatimChar"/>
        </w:rPr>
        <w:t xml:space="preserve">   08_ModernizationTimeline.md</w:t>
      </w:r>
      <w:r>
        <w:br/>
      </w:r>
      <w:r>
        <w:br/>
      </w:r>
      <w:r>
        <w:rPr>
          <w:rStyle w:val="VerbatimChar"/>
        </w:rPr>
        <w:t xml:space="preserve">   09_CrosswalkIndex.md</w:t>
      </w:r>
      <w:r>
        <w:br/>
      </w:r>
      <w:r>
        <w:rPr>
          <w:rStyle w:val="VerbatimChar"/>
        </w:rPr>
        <w:t xml:space="preserve">   10_DirectoryStructure.md</w:t>
      </w:r>
      <w:r>
        <w:br/>
      </w:r>
      <w:r>
        <w:rPr>
          <w:rStyle w:val="VerbatimChar"/>
        </w:rPr>
        <w:t xml:space="preserve">   11_GlossaryAndDefinitions.md</w:t>
      </w:r>
    </w:p>
    <w:p>
      <w:pPr>
        <w:pStyle w:val="FirstParagraph"/>
      </w:pPr>
      <w:r>
        <w:t xml:space="preserve">This structure is deterministic and must not be altered.</w:t>
      </w:r>
    </w:p>
    <w:bookmarkEnd w:id="27"/>
    <w:bookmarkStart w:id="28" w:name="numbering-rules"/>
    <w:p>
      <w:pPr>
        <w:pStyle w:val="Heading3"/>
      </w:pPr>
      <w:r>
        <w:t xml:space="preserve">1.6.2 6.2 Numbering Rules</w:t>
      </w:r>
    </w:p>
    <w:p>
      <w:pPr>
        <w:pStyle w:val="FirstParagraph"/>
      </w:pPr>
      <w:r>
        <w:rPr>
          <w:b/>
          <w:bCs/>
        </w:rPr>
        <w:t xml:space="preserve">Rule 1 — Two-Digit Prefix</w:t>
      </w:r>
    </w:p>
    <w:p>
      <w:pPr>
        <w:pStyle w:val="BodyText"/>
      </w:pPr>
      <w:r>
        <w:t xml:space="preserve">Every document begins with a two-digit prefix:</w:t>
      </w:r>
    </w:p>
    <w:p>
      <w:pPr>
        <w:pStyle w:val="Compact"/>
        <w:numPr>
          <w:ilvl w:val="0"/>
          <w:numId w:val="1004"/>
        </w:numPr>
      </w:pPr>
      <w:r>
        <w:t xml:space="preserve">00-02: Foundational Architecture</w:t>
      </w:r>
    </w:p>
    <w:p>
      <w:pPr>
        <w:pStyle w:val="Compact"/>
        <w:numPr>
          <w:ilvl w:val="0"/>
          <w:numId w:val="1004"/>
        </w:numPr>
      </w:pPr>
      <w:r>
        <w:t xml:space="preserve">03-05: Compliance and Governance</w:t>
      </w:r>
    </w:p>
    <w:p>
      <w:pPr>
        <w:pStyle w:val="Compact"/>
        <w:numPr>
          <w:ilvl w:val="0"/>
          <w:numId w:val="1004"/>
        </w:numPr>
      </w:pPr>
      <w:r>
        <w:t xml:space="preserve">06-08: Program and Leadership</w:t>
      </w:r>
    </w:p>
    <w:p>
      <w:pPr>
        <w:pStyle w:val="Compact"/>
        <w:numPr>
          <w:ilvl w:val="0"/>
          <w:numId w:val="1004"/>
        </w:numPr>
      </w:pPr>
      <w:r>
        <w:t xml:space="preserve">09-11: Index and Metadata</w:t>
      </w:r>
    </w:p>
    <w:p>
      <w:pPr>
        <w:pStyle w:val="FirstParagraph"/>
      </w:pPr>
      <w:r>
        <w:rPr>
          <w:b/>
          <w:bCs/>
        </w:rPr>
        <w:t xml:space="preserve">Rule 2 — No Gaps</w:t>
      </w:r>
    </w:p>
    <w:p>
      <w:pPr>
        <w:pStyle w:val="BodyText"/>
      </w:pPr>
      <w:r>
        <w:t xml:space="preserve">Numbers must remain contiguous. If a document is removed, its number is retired permanently.</w:t>
      </w:r>
    </w:p>
    <w:p>
      <w:pPr>
        <w:pStyle w:val="BodyText"/>
      </w:pPr>
      <w:r>
        <w:rPr>
          <w:b/>
          <w:bCs/>
        </w:rPr>
        <w:t xml:space="preserve">Rule 3 — No Renumbering</w:t>
      </w:r>
    </w:p>
    <w:p>
      <w:pPr>
        <w:pStyle w:val="BodyText"/>
      </w:pPr>
      <w:r>
        <w:t xml:space="preserve">Once assigned, a number is immutable.</w:t>
      </w:r>
    </w:p>
    <w:p>
      <w:pPr>
        <w:pStyle w:val="BodyText"/>
      </w:pPr>
      <w:r>
        <w:rPr>
          <w:b/>
          <w:bCs/>
        </w:rPr>
        <w:t xml:space="preserve">Rule 4 — Appendices Use Suffixes</w:t>
      </w:r>
    </w:p>
    <w:p>
      <w:pPr>
        <w:pStyle w:val="BodyText"/>
      </w:pPr>
      <w:r>
        <w:t xml:space="preserve">Appendices follow the pattern: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A_*.md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B_*.md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C_*.md</w:t>
      </w:r>
    </w:p>
    <w:p>
      <w:pPr>
        <w:pStyle w:val="FirstParagraph"/>
      </w:pPr>
      <w:r>
        <w:rPr>
          <w:b/>
          <w:bCs/>
        </w:rPr>
        <w:t xml:space="preserve">Rule 5 — No Nested Directories for Canon Documents</w:t>
      </w:r>
    </w:p>
    <w:p>
      <w:pPr>
        <w:pStyle w:val="BodyText"/>
      </w:pPr>
      <w:r>
        <w:t xml:space="preserve">All 12 canonical documents live directly under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The directory structure mirrors the UIAO runtime model:</w:t>
      </w:r>
    </w:p>
    <w:bookmarkStart w:id="30" w:name="conversation-flow-to-document-flow"/>
    <w:p>
      <w:pPr>
        <w:pStyle w:val="Heading3"/>
      </w:pPr>
      <w:r>
        <w:t xml:space="preserve">1.7.1 7.1 Conversation Flow to Document Flow</w:t>
      </w:r>
    </w:p>
    <w:p>
      <w:pPr>
        <w:pStyle w:val="FirstParagraph"/>
      </w:pPr>
      <w:r>
        <w:t xml:space="preserve">Identity - Addressing - Certificates - Overlay - Telemetry - Policy</w:t>
      </w:r>
    </w:p>
    <w:p>
      <w:pPr>
        <w:pStyle w:val="BodyText"/>
      </w:pPr>
      <w:r>
        <w:t xml:space="preserve">maps to</w:t>
      </w:r>
    </w:p>
    <w:p>
      <w:pPr>
        <w:pStyle w:val="BodyText"/>
      </w:pPr>
      <w:r>
        <w:t xml:space="preserve">00 - 01 - 02 - 03 - 04 - 05 - 06 - 07 - 08 - 09 - 10 - 11</w:t>
      </w:r>
    </w:p>
    <w:bookmarkEnd w:id="30"/>
    <w:bookmarkStart w:id="31" w:name="deterministic-navigation"/>
    <w:p>
      <w:pPr>
        <w:pStyle w:val="Heading3"/>
      </w:pPr>
      <w:r>
        <w:t xml:space="preserve">1.7.2 7.2 Deterministic Navigation</w:t>
      </w:r>
    </w:p>
    <w:p>
      <w:pPr>
        <w:pStyle w:val="FirstParagraph"/>
      </w:pPr>
      <w:r>
        <w:t xml:space="preserve">Given the number, the document’s role is always known.</w:t>
      </w:r>
    </w:p>
    <w:bookmarkEnd w:id="31"/>
    <w:bookmarkStart w:id="32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Crosswalks and governance documents (03-05, 09-11) support continuous monitoring.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irectory-structure-canonical-table"/>
    <w:p>
      <w:pPr>
        <w:pStyle w:val="Heading2"/>
      </w:pPr>
      <w:r>
        <w:t xml:space="preserve">1.8 8. Directory Structure (Canonical 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ControlPlaneArchitecture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Defines the six control planes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UnifiedArchitecture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Cross-plane architectural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CanonSpecification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Doctrinal modernization canon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FedRAMP20x_Crosswalk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Full FedRAMP 20x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FedRAMP20x_Phase2_Summary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Modernization-focused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ManagementStack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ServiceNow + Intune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ProgramVision</w:t>
            </w:r>
          </w:p>
        </w:tc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Strategic modernization 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LeadershipBriefing</w:t>
            </w:r>
          </w:p>
        </w:tc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Executive slide-deck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ModernizationTimeline</w:t>
            </w:r>
          </w:p>
        </w:tc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PMO-ready sequencing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CrosswalkIndex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Master index of all crosswalks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DirectoryStructure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GlossaryAndDefinitions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Canonical glossary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dependencies-and-sequencing"/>
    <w:p>
      <w:pPr>
        <w:pStyle w:val="Heading2"/>
      </w:pPr>
      <w:r>
        <w:t xml:space="preserve">1.9 9. Dependencies and Sequencing</w:t>
      </w:r>
    </w:p>
    <w:bookmarkStart w:id="35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06"/>
        </w:numPr>
      </w:pPr>
      <w:r>
        <w:t xml:space="preserve">Identity modernization</w:t>
      </w:r>
    </w:p>
    <w:p>
      <w:pPr>
        <w:pStyle w:val="Compact"/>
        <w:numPr>
          <w:ilvl w:val="0"/>
          <w:numId w:val="1006"/>
        </w:numPr>
      </w:pPr>
      <w:r>
        <w:t xml:space="preserve">IPAM modernization</w:t>
      </w:r>
    </w:p>
    <w:p>
      <w:pPr>
        <w:pStyle w:val="Compact"/>
        <w:numPr>
          <w:ilvl w:val="0"/>
          <w:numId w:val="1006"/>
        </w:numPr>
      </w:pPr>
      <w:r>
        <w:t xml:space="preserve">SD-WAN overlay deployment</w:t>
      </w:r>
    </w:p>
    <w:bookmarkEnd w:id="35"/>
    <w:bookmarkStart w:id="36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07"/>
        </w:numPr>
      </w:pPr>
      <w:r>
        <w:t xml:space="preserve">Automation pipelines</w:t>
      </w:r>
    </w:p>
    <w:p>
      <w:pPr>
        <w:pStyle w:val="Compact"/>
        <w:numPr>
          <w:ilvl w:val="0"/>
          <w:numId w:val="1007"/>
        </w:numPr>
      </w:pPr>
      <w:r>
        <w:t xml:space="preserve">Crosswalk generation</w:t>
      </w:r>
    </w:p>
    <w:p>
      <w:pPr>
        <w:pStyle w:val="Compact"/>
        <w:numPr>
          <w:ilvl w:val="0"/>
          <w:numId w:val="1007"/>
        </w:numPr>
      </w:pPr>
      <w:r>
        <w:t xml:space="preserve">Leadership reporting</w:t>
      </w:r>
    </w:p>
    <w:bookmarkEnd w:id="36"/>
    <w:bookmarkStart w:id="37" w:name="critical-path"/>
    <w:p>
      <w:pPr>
        <w:pStyle w:val="Heading3"/>
      </w:pPr>
      <w:r>
        <w:t xml:space="preserve">1.9.3 Critical Path</w:t>
      </w:r>
    </w:p>
    <w:p>
      <w:pPr>
        <w:pStyle w:val="FirstParagraph"/>
      </w:pPr>
      <w:r>
        <w:t xml:space="preserve">00 - 01 - 02 - 03 - 04 - 05 - 06 - 07 - 08 - 09 - 10 - 11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governance-and-drift-controls"/>
    <w:p>
      <w:pPr>
        <w:pStyle w:val="Heading2"/>
      </w:pPr>
      <w:r>
        <w:t xml:space="preserve">1.10 10. Governance and Drift Controls</w:t>
      </w:r>
    </w:p>
    <w:bookmarkStart w:id="39" w:name="source-of-authority"/>
    <w:p>
      <w:pPr>
        <w:pStyle w:val="Heading3"/>
      </w:pPr>
      <w:r>
        <w:t xml:space="preserve">1.10.1 Source of Authority</w:t>
      </w:r>
    </w:p>
    <w:p>
      <w:pPr>
        <w:pStyle w:val="Compact"/>
        <w:numPr>
          <w:ilvl w:val="0"/>
          <w:numId w:val="1008"/>
        </w:numPr>
      </w:pPr>
      <w:r>
        <w:t xml:space="preserve">HR — identity lifecycle</w:t>
      </w:r>
    </w:p>
    <w:p>
      <w:pPr>
        <w:pStyle w:val="Compact"/>
        <w:numPr>
          <w:ilvl w:val="0"/>
          <w:numId w:val="1008"/>
        </w:numPr>
      </w:pPr>
      <w:r>
        <w:t xml:space="preserve">Network architecture — addressing</w:t>
      </w:r>
    </w:p>
    <w:p>
      <w:pPr>
        <w:pStyle w:val="Compact"/>
        <w:numPr>
          <w:ilvl w:val="0"/>
          <w:numId w:val="1008"/>
        </w:numPr>
      </w:pPr>
      <w:r>
        <w:t xml:space="preserve">PKI — certificate trust</w:t>
      </w:r>
    </w:p>
    <w:p>
      <w:pPr>
        <w:pStyle w:val="Compact"/>
        <w:numPr>
          <w:ilvl w:val="0"/>
          <w:numId w:val="1008"/>
        </w:numPr>
      </w:pPr>
      <w:r>
        <w:t xml:space="preserve">System owners — configuration baselines</w:t>
      </w:r>
    </w:p>
    <w:bookmarkEnd w:id="39"/>
    <w:bookmarkStart w:id="40" w:name="drift-detection"/>
    <w:p>
      <w:pPr>
        <w:pStyle w:val="Heading3"/>
      </w:pPr>
      <w:r>
        <w:t xml:space="preserve">1.10.2 Drift Detection</w:t>
      </w:r>
    </w:p>
    <w:p>
      <w:pPr>
        <w:pStyle w:val="Compact"/>
        <w:numPr>
          <w:ilvl w:val="0"/>
          <w:numId w:val="1009"/>
        </w:numPr>
      </w:pPr>
      <w:r>
        <w:t xml:space="preserve">CMDB reconciliation</w:t>
      </w:r>
    </w:p>
    <w:p>
      <w:pPr>
        <w:pStyle w:val="Compact"/>
        <w:numPr>
          <w:ilvl w:val="0"/>
          <w:numId w:val="1009"/>
        </w:numPr>
      </w:pPr>
      <w:r>
        <w:t xml:space="preserve">Intune compliance</w:t>
      </w:r>
    </w:p>
    <w:p>
      <w:pPr>
        <w:pStyle w:val="Compact"/>
        <w:numPr>
          <w:ilvl w:val="0"/>
          <w:numId w:val="1009"/>
        </w:numPr>
      </w:pPr>
      <w:r>
        <w:t xml:space="preserve">SD-WAN overlay validation</w:t>
      </w:r>
    </w:p>
    <w:p>
      <w:pPr>
        <w:pStyle w:val="Compact"/>
        <w:numPr>
          <w:ilvl w:val="0"/>
          <w:numId w:val="1009"/>
        </w:numPr>
      </w:pPr>
      <w:r>
        <w:t xml:space="preserve">IPAM reconciliation</w:t>
      </w:r>
    </w:p>
    <w:bookmarkEnd w:id="40"/>
    <w:bookmarkStart w:id="41" w:name="repository-drift-controls"/>
    <w:p>
      <w:pPr>
        <w:pStyle w:val="Heading3"/>
      </w:pPr>
      <w:r>
        <w:t xml:space="preserve">1.10.3 Repository Drift Controls</w:t>
      </w:r>
    </w:p>
    <w:p>
      <w:pPr>
        <w:pStyle w:val="Compact"/>
        <w:numPr>
          <w:ilvl w:val="0"/>
          <w:numId w:val="1010"/>
        </w:numPr>
      </w:pPr>
      <w:r>
        <w:t xml:space="preserve">No renumbering</w:t>
      </w:r>
    </w:p>
    <w:p>
      <w:pPr>
        <w:pStyle w:val="Compact"/>
        <w:numPr>
          <w:ilvl w:val="0"/>
          <w:numId w:val="1010"/>
        </w:numPr>
      </w:pPr>
      <w:r>
        <w:t xml:space="preserve">No renaming</w:t>
      </w:r>
    </w:p>
    <w:p>
      <w:pPr>
        <w:pStyle w:val="Compact"/>
        <w:numPr>
          <w:ilvl w:val="0"/>
          <w:numId w:val="1010"/>
        </w:numPr>
      </w:pPr>
      <w:r>
        <w:t xml:space="preserve">No relocation</w:t>
      </w:r>
    </w:p>
    <w:p>
      <w:pPr>
        <w:pStyle w:val="Compact"/>
        <w:numPr>
          <w:ilvl w:val="0"/>
          <w:numId w:val="1010"/>
        </w:numPr>
      </w:pPr>
      <w:r>
        <w:t xml:space="preserve">No duplication</w:t>
      </w:r>
    </w:p>
    <w:p>
      <w:pPr>
        <w:pStyle w:val="Compact"/>
        <w:numPr>
          <w:ilvl w:val="0"/>
          <w:numId w:val="1010"/>
        </w:numPr>
      </w:pPr>
      <w:r>
        <w:t xml:space="preserve">No cross-document redefinition</w:t>
      </w:r>
    </w:p>
    <w:bookmarkEnd w:id="41"/>
    <w:bookmarkStart w:id="42" w:name="remediation-workflow"/>
    <w:p>
      <w:pPr>
        <w:pStyle w:val="Heading3"/>
      </w:pPr>
      <w:r>
        <w:t xml:space="preserve">1.10.4 Remediation Workflow</w:t>
      </w:r>
    </w:p>
    <w:p>
      <w:pPr>
        <w:pStyle w:val="Compact"/>
        <w:numPr>
          <w:ilvl w:val="0"/>
          <w:numId w:val="1011"/>
        </w:numPr>
      </w:pPr>
      <w:r>
        <w:t xml:space="preserve">GitHub PR review</w:t>
      </w:r>
    </w:p>
    <w:p>
      <w:pPr>
        <w:pStyle w:val="Compact"/>
        <w:numPr>
          <w:ilvl w:val="0"/>
          <w:numId w:val="1011"/>
        </w:numPr>
      </w:pPr>
      <w:r>
        <w:t xml:space="preserve">Canon steward approval</w:t>
      </w:r>
    </w:p>
    <w:p>
      <w:pPr>
        <w:pStyle w:val="Compact"/>
        <w:numPr>
          <w:ilvl w:val="0"/>
          <w:numId w:val="1011"/>
        </w:numPr>
      </w:pPr>
      <w:r>
        <w:t xml:space="preserve">Automated structure validation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appendices"/>
    <w:p>
      <w:pPr>
        <w:pStyle w:val="Heading2"/>
      </w:pPr>
      <w:r>
        <w:t xml:space="preserve">1.11 11. Appendices</w:t>
      </w:r>
    </w:p>
    <w:bookmarkStart w:id="44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44"/>
    <w:bookmarkStart w:id="45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Directory Structure canonical table is in Section 8.</w:t>
      </w:r>
    </w:p>
    <w:bookmarkEnd w:id="45"/>
    <w:bookmarkStart w:id="46" w:name="appendix-c-evidence-sources"/>
    <w:p>
      <w:pPr>
        <w:pStyle w:val="Heading3"/>
      </w:pPr>
      <w:r>
        <w:t xml:space="preserve">1.11.3 Appendix C: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Directorystructure</dc:title>
  <dc:creator>UIAO Modernization Program</dc:creator>
  <dc:language>en</dc:language>
  <cp:keywords/>
  <dcterms:created xsi:type="dcterms:W3CDTF">2026-03-31T17:38:02Z</dcterms:created>
  <dcterms:modified xsi:type="dcterms:W3CDTF">2026-03-31T17:38:02Z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