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appendix-canon-library"/>
    <w:p>
      <w:pPr>
        <w:pStyle w:val="Heading1"/>
      </w:pPr>
      <w:r>
        <w:t xml:space="preserve">Appendix Canon Library</w:t>
      </w:r>
    </w:p>
    <w:p>
      <w:pPr>
        <w:pStyle w:val="FirstParagraph"/>
      </w:pPr>
      <w:r>
        <w:t xml:space="preserve">This library contains the 104 standardized technical and operational patterns (A-CZ) used across the Modernization Atlas.</w:t>
      </w:r>
    </w:p>
    <w:bookmarkStart w:id="20" w:name="library-overview"/>
    <w:p>
      <w:pPr>
        <w:pStyle w:val="Heading2"/>
      </w:pPr>
      <w:r>
        <w:t xml:space="preserve">Library Overview</w:t>
      </w:r>
    </w:p>
    <w:p>
      <w:pPr>
        <w:pStyle w:val="BlockText"/>
      </w:pPr>
      <w:r>
        <w:rPr>
          <w:iCs/>
          <w:i/>
        </w:rPr>
        <w:t xml:space="preserve">[Diagram: Mermaid chart — render failed]</w:t>
      </w:r>
    </w:p>
    <w:bookmarkEnd w:id="20"/>
    <w:bookmarkStart w:id="26" w:name="table-of-contents"/>
    <w:p>
      <w:pPr>
        <w:pStyle w:val="Heading2"/>
      </w:pPr>
      <w:r>
        <w:t xml:space="preserve">Table of Contents</w:t>
      </w:r>
    </w:p>
    <w:bookmarkStart w:id="21" w:name="core-standards-a-z"/>
    <w:p>
      <w:pPr>
        <w:pStyle w:val="Heading3"/>
      </w:pPr>
      <w:r>
        <w:t xml:space="preserve">Core Standards (A-Z)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</w:tbl>
    <w:p>
      <w:pPr>
        <w:pStyle w:val="BodyText"/>
      </w:pPr>
      <w:r>
        <w:t xml:space="preserve">A-01 | Global Naming Convention | Approved |</w:t>
      </w:r>
    </w:p>
    <w:p>
      <w:pPr>
        <w:pStyle w:val="BodyText"/>
      </w:pPr>
      <w:r>
        <w:t xml:space="preserve">A-02 | Global IP Addressing Standard | Approved |</w:t>
      </w:r>
    </w:p>
    <w:p>
      <w:pPr>
        <w:pStyle w:val="BodyText"/>
      </w:pPr>
      <w:r>
        <w:t xml:space="preserve">A-03 | Global VLAN Assignment Standard | Approved |</w:t>
      </w:r>
    </w:p>
    <w:bookmarkEnd w:id="21"/>
    <w:bookmarkStart w:id="22" w:name="network-patterns-aa-az"/>
    <w:p>
      <w:pPr>
        <w:pStyle w:val="Heading3"/>
      </w:pPr>
      <w:r>
        <w:t xml:space="preserve">Network Patterns (AA-AZ)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</w:tbl>
    <w:bookmarkEnd w:id="22"/>
    <w:bookmarkStart w:id="23" w:name="security-protocols-ba-bz"/>
    <w:p>
      <w:pPr>
        <w:pStyle w:val="Heading3"/>
      </w:pPr>
      <w:r>
        <w:t xml:space="preserve">Security Protocols (BA-BZ)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</w:tbl>
    <w:bookmarkEnd w:id="23"/>
    <w:bookmarkStart w:id="24" w:name="operational-procedures-ca-cz"/>
    <w:p>
      <w:pPr>
        <w:pStyle w:val="Heading3"/>
      </w:pPr>
      <w:r>
        <w:t xml:space="preserve">Operational Procedures (CA-CZ)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implementation-notes"/>
    <w:p>
      <w:pPr>
        <w:pStyle w:val="Heading3"/>
      </w:pPr>
      <w:r>
        <w:t xml:space="preserve">Implementation Notes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Logic Check:</w:t>
      </w:r>
      <w:r>
        <w:t xml:space="preserve"> </w:t>
      </w:r>
      <w:r>
        <w:t xml:space="preserve">The iteration logic assumes YAML keys start with the group prefix (e.g.,</w:t>
      </w:r>
      <w:r>
        <w:t xml:space="preserve"> </w:t>
      </w:r>
      <w:r>
        <w:rPr>
          <w:rStyle w:val="VerbatimChar"/>
        </w:rPr>
        <w:t xml:space="preserve">A-01</w:t>
      </w:r>
      <w:r>
        <w:t xml:space="preserve">,</w:t>
      </w:r>
      <w:r>
        <w:t xml:space="preserve"> </w:t>
      </w:r>
      <w:r>
        <w:rPr>
          <w:rStyle w:val="VerbatimChar"/>
        </w:rPr>
        <w:t xml:space="preserve">BA-02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Normalization:</w:t>
      </w:r>
      <w:r>
        <w:t xml:space="preserve"> </w:t>
      </w:r>
      <w:r>
        <w:t xml:space="preserve">Hyphen-to-underscore conversion is applied by</w:t>
      </w:r>
      <w:r>
        <w:t xml:space="preserve"> </w:t>
      </w:r>
      <w:r>
        <w:rPr>
          <w:rStyle w:val="VerbatimChar"/>
        </w:rPr>
        <w:t xml:space="preserve">generate.py</w:t>
      </w:r>
      <w:r>
        <w:t xml:space="preserve"> </w:t>
      </w:r>
      <w:r>
        <w:t xml:space="preserve">before rendering.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the UIAO-Core Pipeline</w:t>
      </w:r>
    </w:p>
    <w:bookmarkEnd w:id="25"/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2026-03-21T15:59:33Z</dcterms:created>
  <dcterms:modified xsi:type="dcterms:W3CDTF">2026-03-21T15:59:33Z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