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fedramp-22-compliance-summary"/>
    <w:p>
      <w:pPr>
        <w:pStyle w:val="Heading1"/>
      </w:pPr>
      <w:r>
        <w:t xml:space="preserve">UIAO FedRAMP 22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architecture-supporting-fedramp-22"/>
    <w:p>
      <w:pPr>
        <w:pStyle w:val="Heading1"/>
      </w:pPr>
      <w:r>
        <w:t xml:space="preserve">Architecture Supporting FedRAMP 22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fedramp-22"/>
    <w:p>
      <w:pPr>
        <w:pStyle w:val="Heading1"/>
      </w:pPr>
      <w:r>
        <w:t xml:space="preserve">Core Concepts Supporting FedRAMP 22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22 Compliance Summary</dc:title>
  <dc:creator/>
  <cp:keywords/>
  <dcterms:created xsi:type="dcterms:W3CDTF">2026-03-21T02:04:03Z</dcterms:created>
  <dcterms:modified xsi:type="dcterms:W3CDTF">2026-03-21T02:04:03Z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