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pipeline-logic-data-normalization"/>
    <w:p>
      <w:pPr>
        <w:pStyle w:val="Heading1"/>
      </w:pPr>
      <w:r>
        <w:t xml:space="preserve">Pipeline Logic &amp; Data Normalization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uiao-core</w:t>
      </w:r>
      <w:r>
        <w:t xml:space="preserve"> </w:t>
      </w:r>
      <w:r>
        <w:t xml:space="preserve">repository functions as a compiler for infrastructure. It translates high-level intent into multi-vendor configurations.</w:t>
      </w:r>
    </w:p>
    <w:bookmarkStart w:id="20" w:name="the-data-pipeline"/>
    <w:p>
      <w:pPr>
        <w:pStyle w:val="Heading2"/>
      </w:pPr>
      <w:r>
        <w:t xml:space="preserve">The Data Pipeline</w:t>
      </w:r>
    </w:p>
    <w:p>
      <w:pPr>
        <w:pStyle w:val="FirstParagraph"/>
      </w:pPr>
      <w:r>
        <w:t xml:space="preserve">How</w:t>
      </w:r>
      <w:r>
        <w:t xml:space="preserve"> </w:t>
      </w:r>
      <w:r>
        <w:rPr>
          <w:rStyle w:val="VerbatimChar"/>
        </w:rPr>
        <w:t xml:space="preserve">program.yml</w:t>
      </w:r>
      <w:r>
        <w:t xml:space="preserve"> </w:t>
      </w:r>
      <w:r>
        <w:t xml:space="preserve">becomes a deployed configuration:</w:t>
      </w:r>
    </w:p>
    <w:p>
      <w:pPr>
        <w:pStyle w:val="BlockText"/>
      </w:pPr>
      <w:r>
        <w:rPr>
          <w:iCs/>
          <w:i/>
        </w:rPr>
        <w:t xml:space="preserve">[Diagram: Mermaid chart — render failed]</w:t>
      </w:r>
    </w:p>
    <w:bookmarkEnd w:id="20"/>
    <w:bookmarkStart w:id="22" w:name="jinja2-normalization"/>
    <w:p>
      <w:pPr>
        <w:pStyle w:val="Heading2"/>
      </w:pPr>
      <w:r>
        <w:t xml:space="preserve">Jinja2 Normalization</w:t>
      </w:r>
    </w:p>
    <w:p>
      <w:pPr>
        <w:pStyle w:val="FirstParagraph"/>
      </w:pPr>
      <w:r>
        <w:t xml:space="preserve">To prevent</w:t>
      </w:r>
      <w:r>
        <w:t xml:space="preserve"> </w:t>
      </w:r>
      <w:r>
        <w:rPr>
          <w:rStyle w:val="VerbatimChar"/>
        </w:rPr>
        <w:t xml:space="preserve">UndefinedError</w:t>
      </w:r>
      <w:r>
        <w:t xml:space="preserve"> </w:t>
      </w:r>
      <w:r>
        <w:t xml:space="preserve">within templates, all YAML keys undergo a</w:t>
      </w:r>
      <w:r>
        <w:t xml:space="preserve"> </w:t>
      </w:r>
      <w:r>
        <w:rPr>
          <w:bCs/>
          <w:b/>
        </w:rPr>
        <w:t xml:space="preserve">hyphen-to-underscore</w:t>
      </w:r>
      <w:r>
        <w:t xml:space="preserve"> </w:t>
      </w:r>
      <w:r>
        <w:t xml:space="preserve">translation before rendering.</w:t>
      </w:r>
    </w:p>
    <w:p>
      <w:pPr>
        <w:pStyle w:val="BlockText"/>
      </w:pPr>
      <w:r>
        <w:rPr>
          <w:iCs/>
          <w:i/>
        </w:rPr>
        <w:t xml:space="preserve">[Diagram: Mermaid chart — render failed]</w:t>
      </w:r>
    </w:p>
    <w:bookmarkStart w:id="21" w:name="key-mapping-example"/>
    <w:p>
      <w:pPr>
        <w:pStyle w:val="Heading3"/>
      </w:pPr>
      <w:r>
        <w:t xml:space="preserve">Key Mapping Example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Key:</w:t>
      </w:r>
      <w:r>
        <w:t xml:space="preserve"> </w:t>
      </w:r>
      <w:r>
        <w:rPr>
          <w:rStyle w:val="VerbatimChar"/>
        </w:rPr>
        <w:t xml:space="preserve">wan-interface-id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Jinja2 Variable:</w:t>
      </w:r>
      <w:r>
        <w:t xml:space="preserve"> </w:t>
      </w:r>
      <w:r>
        <w:rPr>
          <w:rStyle w:val="VerbatimChar"/>
        </w:rPr>
        <w:t xml:space="preserve">{{ data.wan_interface_id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the uiao-core Development Pipeline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2026-03-21T02:04:04Z</dcterms:created>
  <dcterms:modified xsi:type="dcterms:W3CDTF">2026-03-21T02:04:04Z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