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5" w:name="core-concepts-supporting-tic-3.0"/>
    <w:p>
      <w:pPr>
        <w:pStyle w:val="Heading1"/>
      </w:pPr>
      <w:r>
        <w:t xml:space="preserve">Core Concepts Supporting TIC 3.0</w:t>
      </w:r>
    </w:p>
    <w:bookmarkStart w:id="28" w:name="conversation-as-the-atomic-unit"/>
    <w:p>
      <w:pPr>
        <w:pStyle w:val="Heading3"/>
      </w:pPr>
      <w:r>
        <w:t xml:space="preserve">1. Conversation as the Atomic Unit</w:t>
      </w:r>
    </w:p>
    <w:p>
      <w:pPr>
        <w:pStyle w:val="FirstParagraph"/>
      </w:pPr>
      <w:r>
        <w:t xml:space="preserve">Every interaction—identity, certificate, addressing, path, QoS, and telemetry—is treated as a single, correlated conversation rather than isolated events.</w:t>
      </w:r>
    </w:p>
    <w:bookmarkEnd w:id="28"/>
    <w:bookmarkStart w:id="29" w:name="identity-as-the-root-namespace"/>
    <w:p>
      <w:pPr>
        <w:pStyle w:val="Heading3"/>
      </w:pPr>
      <w:r>
        <w:t xml:space="preserve">2.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29"/>
    <w:bookmarkStart w:id="30" w:name="deterministic-addressing"/>
    <w:p>
      <w:pPr>
        <w:pStyle w:val="Heading3"/>
      </w:pPr>
      <w:r>
        <w:t xml:space="preserve">3.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0"/>
    <w:bookmarkStart w:id="31" w:name="certificate-anchored-overlay"/>
    <w:p>
      <w:pPr>
        <w:pStyle w:val="Heading3"/>
      </w:pPr>
      <w:r>
        <w:t xml:space="preserve">4. Certificate-Anchored Overlay</w:t>
      </w:r>
    </w:p>
    <w:p>
      <w:pPr>
        <w:pStyle w:val="FirstParagraph"/>
      </w:pPr>
      <w:r>
        <w:t xml:space="preserve">Certificates and mutual TLS anchor tunnels, services, and trust relationships across the enterprise.</w:t>
      </w:r>
    </w:p>
    <w:bookmarkEnd w:id="31"/>
    <w:bookmarkStart w:id="32" w:name="telemetry-as-control"/>
    <w:p>
      <w:pPr>
        <w:pStyle w:val="Heading3"/>
      </w:pPr>
      <w:r>
        <w:t xml:space="preserve">5. Telemetry as Control</w:t>
      </w:r>
    </w:p>
    <w:p>
      <w:pPr>
        <w:pStyle w:val="FirstParagraph"/>
      </w:pPr>
      <w:r>
        <w:t xml:space="preserve">Telemetry becomes an active control input for routing, security, and compliance decisions rather than a passive reporting mechanism.</w:t>
      </w:r>
    </w:p>
    <w:bookmarkEnd w:id="32"/>
    <w:bookmarkStart w:id="33" w:name="embedded-governance-automation"/>
    <w:p>
      <w:pPr>
        <w:pStyle w:val="Heading3"/>
      </w:pPr>
      <w:r>
        <w:t xml:space="preserve">6. Embedded Governance &amp; Automation</w:t>
      </w:r>
    </w:p>
    <w:p>
      <w:pPr>
        <w:pStyle w:val="FirstParagraph"/>
      </w:pPr>
      <w:r>
        <w:t xml:space="preserve">Governance is executed through orchestrated workflows that enforce policy consistently and reduce operational burden.</w:t>
      </w:r>
    </w:p>
    <w:bookmarkEnd w:id="33"/>
    <w:bookmarkStart w:id="34" w:name="public-service-first"/>
    <w:p>
      <w:pPr>
        <w:pStyle w:val="Heading3"/>
      </w:pPr>
      <w:r>
        <w:t xml:space="preserve">7. Public Service First</w:t>
      </w:r>
    </w:p>
    <w:p>
      <w:pPr>
        <w:pStyle w:val="FirstParagraph"/>
      </w:pPr>
      <w:r>
        <w:t xml:space="preserve">Citizen experience, accessibility, and privacy remain top-level design constraints.</w:t>
      </w:r>
    </w:p>
    <w:p>
      <w:r>
        <w:pict>
          <v:rect style="width:0;height:1.5pt" o:hralign="center" o:hrstd="t" o:hr="t"/>
        </w:pict>
      </w:r>
    </w:p>
    <w:bookmarkEnd w:id="34"/>
    <w:bookmarkEnd w:id="35"/>
    <w:bookmarkStart w:id="36"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6"/>
    <w:bookmarkStart w:id="38"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7"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r>
        <w:tc>
          <w:tcPr/>
          <w:p>
            <w:pPr>
              <w:pStyle w:val="Compact"/>
              <w:jc w:val="left"/>
            </w:pPr>
            <w:r>
              <w:rPr>
                <w:bCs/>
                <w:b/>
              </w:rPr>
              <w:t xml:space="preserve">Connectivity</w:t>
            </w:r>
          </w:p>
        </w:tc>
        <w:tc>
          <w:tcPr/>
          <w:p>
            <w:pPr>
              <w:pStyle w:val="Compact"/>
              <w:jc w:val="left"/>
            </w:pPr>
            <w:r>
              <w:t xml:space="preserve">MTIPS / Hub-and-Spoke (Centralized Circuit Bottlenecks)</w:t>
            </w:r>
          </w:p>
        </w:tc>
        <w:tc>
          <w:tcPr/>
          <w:p>
            <w:pPr>
              <w:pStyle w:val="Compact"/>
              <w:jc w:val="left"/>
            </w:pPr>
            <w:r>
              <w:rPr>
                <w:bCs/>
                <w:b/>
              </w:rPr>
              <w:t xml:space="preserve">Cisco SD-WAN Overlay with Direct Internet Access (DIA)</w:t>
            </w:r>
          </w:p>
        </w:tc>
        <w:tc>
          <w:tcPr/>
          <w:p>
            <w:pPr>
              <w:pStyle w:val="Compact"/>
              <w:jc w:val="left"/>
            </w:pPr>
            <w:r>
              <w:t xml:space="preserve">Eliminates circuit-based latency and MTIPS hair-pinning.</w:t>
            </w:r>
          </w:p>
        </w:tc>
      </w:tr>
      <w:tr>
        <w:tc>
          <w:tcPr/>
          <w:p>
            <w:pPr>
              <w:pStyle w:val="Compact"/>
              <w:jc w:val="left"/>
            </w:pPr>
            <w:r>
              <w:rPr>
                <w:bCs/>
                <w:b/>
              </w:rPr>
              <w:t xml:space="preserve">Enforcement</w:t>
            </w:r>
          </w:p>
        </w:tc>
        <w:tc>
          <w:tcPr/>
          <w:p>
            <w:pPr>
              <w:pStyle w:val="Compact"/>
              <w:jc w:val="left"/>
            </w:pPr>
            <w:r>
              <w:t xml:space="preserve">Static Physical PEPs (Hardware Firewalls &amp; IDS Silos)</w:t>
            </w:r>
          </w:p>
        </w:tc>
        <w:tc>
          <w:tcPr/>
          <w:p>
            <w:pPr>
              <w:pStyle w:val="Compact"/>
              <w:jc w:val="left"/>
            </w:pPr>
            <w:r>
              <w:rPr>
                <w:bCs/>
                <w:b/>
              </w:rPr>
              <w:t xml:space="preserve">Distributed PEPs (Virtual Security &amp; Trust Zone Boundaries)</w:t>
            </w:r>
          </w:p>
        </w:tc>
        <w:tc>
          <w:tcPr/>
          <w:p>
            <w:pPr>
              <w:pStyle w:val="Compact"/>
              <w:jc w:val="left"/>
            </w:pPr>
            <w:r>
              <w:t xml:space="preserve">Moves protection to the data/user boundary (TIC 3.0 Zones).</w:t>
            </w:r>
          </w:p>
        </w:tc>
      </w:tr>
      <w:tr>
        <w:tc>
          <w:tcPr/>
          <w:p>
            <w:pPr>
              <w:pStyle w:val="Compact"/>
              <w:jc w:val="left"/>
            </w:pPr>
            <w:r>
              <w:rPr>
                <w:bCs/>
                <w:b/>
              </w:rPr>
              <w:t xml:space="preserve">Trust Model</w:t>
            </w:r>
          </w:p>
        </w:tc>
        <w:tc>
          <w:tcPr/>
          <w:p>
            <w:pPr>
              <w:pStyle w:val="Compact"/>
              <w:jc w:val="left"/>
            </w:pPr>
            <w:r>
              <w:t xml:space="preserve">Location-Based Trust (On-Prem = Trusted)</w:t>
            </w:r>
          </w:p>
        </w:tc>
        <w:tc>
          <w:tcPr/>
          <w:p>
            <w:pPr>
              <w:pStyle w:val="Compact"/>
              <w:jc w:val="left"/>
            </w:pPr>
            <w:r>
              <w:rPr>
                <w:bCs/>
                <w:b/>
              </w:rPr>
              <w:t xml:space="preserve">Cryptographically Proven Identity (mTLS &amp; FIDO2)</w:t>
            </w:r>
          </w:p>
        </w:tc>
        <w:tc>
          <w:tcPr/>
          <w:p>
            <w:pPr>
              <w:pStyle w:val="Compact"/>
              <w:jc w:val="left"/>
            </w:pPr>
            <w:r>
              <w:t xml:space="preserve">Prevents lateral movement; zero implicit network trust.</w:t>
            </w:r>
          </w:p>
        </w:tc>
      </w:tr>
      <w:tr>
        <w:tc>
          <w:tcPr/>
          <w:p>
            <w:pPr>
              <w:pStyle w:val="Compact"/>
              <w:jc w:val="left"/>
            </w:pPr>
            <w:r>
              <w:rPr>
                <w:bCs/>
                <w:b/>
              </w:rPr>
              <w:t xml:space="preserve">Routing</w:t>
            </w:r>
          </w:p>
        </w:tc>
        <w:tc>
          <w:tcPr/>
          <w:p>
            <w:pPr>
              <w:pStyle w:val="Compact"/>
              <w:jc w:val="left"/>
            </w:pPr>
            <w:r>
              <w:t xml:space="preserve">Static MPLS Hairpinning to Data Centers</w:t>
            </w:r>
          </w:p>
        </w:tc>
        <w:tc>
          <w:tcPr/>
          <w:p>
            <w:pPr>
              <w:pStyle w:val="Compact"/>
              <w:jc w:val="left"/>
            </w:pPr>
            <w:r>
              <w:rPr>
                <w:bCs/>
                <w:b/>
              </w:rPr>
              <w:t xml:space="preserve">Dynamic Microsoft INR (Internet Routing) Optimization</w:t>
            </w:r>
          </w:p>
        </w:tc>
        <w:tc>
          <w:tcPr/>
          <w:p>
            <w:pPr>
              <w:pStyle w:val="Compact"/>
              <w:jc w:val="left"/>
            </w:pPr>
            <w:r>
              <w:t xml:space="preserve">Optimizes path performance for Cloud/SaaS-heavy workloads.</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2026-03-22T23:48:09Z</dcterms:created>
  <dcterms:modified xsi:type="dcterms:W3CDTF">2026-03-22T23:48:09Z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