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Identity</w:t>
      </w:r>
      <w:r>
        <w:t xml:space="preserve"> </w:t>
      </w:r>
      <w:r>
        <w:t xml:space="preserve">Plane</w:t>
      </w:r>
      <w:r>
        <w:t xml:space="preserve"> </w:t>
      </w:r>
      <w:r>
        <w:t xml:space="preserve">Deep</w:t>
      </w:r>
      <w:r>
        <w:t xml:space="preserve"> </w:t>
      </w:r>
      <w:r>
        <w:t xml:space="preserve">Dive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identity-control-plane-deep-dive"/>
    <w:p>
      <w:pPr>
        <w:pStyle w:val="Heading1"/>
      </w:pPr>
      <w:r>
        <w:t xml:space="preserve">Identity Control Plane Deep Dive</w:t>
      </w:r>
    </w:p>
    <w:p>
      <w:pPr>
        <w:pStyle w:val="FirstParagraph"/>
      </w:pPr>
      <w:r>
        <w:rPr>
          <w:bCs/>
          <w:b/>
        </w:rPr>
        <w:t xml:space="preserve">Version 1.0</w:t>
      </w:r>
    </w:p>
    <w:p>
      <w:r>
        <w:pict>
          <v:rect style="width:0;height:1.5pt" o:hralign="center" o:hrstd="t" o:hr="t"/>
        </w:pict>
      </w:r>
    </w:p>
    <w:bookmarkEnd w:id="20"/>
    <w:bookmarkStart w:id="21" w:name="identity-plane-overview"/>
    <w:p>
      <w:pPr>
        <w:pStyle w:val="Heading1"/>
      </w:pPr>
      <w:r>
        <w:t xml:space="preserve">Identity Plane Overview</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p>
      <w:r>
        <w:pict>
          <v:rect style="width:0;height:1.5pt" o:hralign="center" o:hrstd="t" o:hr="t"/>
        </w:pict>
      </w:r>
    </w:p>
    <w:bookmarkEnd w:id="21"/>
    <w:bookmarkStart w:id="22" w:name="identity-as-the-root-namespace"/>
    <w:p>
      <w:pPr>
        <w:pStyle w:val="Heading1"/>
      </w:pPr>
      <w:r>
        <w:t xml:space="preserve">Identity as the Root Namespace</w:t>
      </w:r>
    </w:p>
    <w:p>
      <w:pPr>
        <w:pStyle w:val="FirstParagraph"/>
      </w:pPr>
      <w:r>
        <w:t xml:space="preserve">Identity becomes the root namespace for all resources, ensuring that every IP address, certificate, subnet, policy, and telemetry event is derived from or bound to identity.</w:t>
      </w:r>
    </w:p>
    <w:p>
      <w:r>
        <w:pict>
          <v:rect style="width:0;height:1.5pt" o:hralign="center" o:hrstd="t" o:hr="t"/>
        </w:pict>
      </w:r>
    </w:p>
    <w:bookmarkEnd w:id="22"/>
    <w:bookmarkStart w:id="23" w:name="deterministic-addressing-identityderived"/>
    <w:p>
      <w:pPr>
        <w:pStyle w:val="Heading1"/>
      </w:pPr>
      <w:r>
        <w:t xml:space="preserve">Deterministic Addressing (Identity‑Derived)</w:t>
      </w:r>
    </w:p>
    <w:p>
      <w:pPr>
        <w:pStyle w:val="FirstParagraph"/>
      </w:pPr>
      <w:r>
        <w:t xml:space="preserve">Addressing becomes deterministic and policy-driven, replacing ad-hoc assignment with identity-derived logic that enables accurate correlation and automated governance.</w:t>
      </w:r>
    </w:p>
    <w:p>
      <w:r>
        <w:pict>
          <v:rect style="width:0;height:1.5pt" o:hralign="center" o:hrstd="t" o:hr="t"/>
        </w:pict>
      </w:r>
    </w:p>
    <w:bookmarkEnd w:id="23"/>
    <w:bookmarkStart w:id="24" w:name="identitydriven-outcomes"/>
    <w:p>
      <w:pPr>
        <w:pStyle w:val="Heading1"/>
      </w:pPr>
      <w:r>
        <w:t xml:space="preserve">Identity‑Driven Outcomes</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20x Phase 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pPr>
        <w:pStyle w:val="SourceCode"/>
      </w:pPr>
      <w:r>
        <w:rPr>
          <w:rStyle w:val="VerbatimChar"/>
        </w:rPr>
        <w:t xml:space="preserve">  identity_lifecycle_scenarios:</w:t>
      </w:r>
    </w:p>
    <w:p>
      <w:pPr>
        <w:pStyle w:val="FirstParagraph"/>
      </w:pPr>
      <w:r>
        <w:t xml:space="preserve">mover_scenario:</w:t>
      </w:r>
      <w:r>
        <w:t xml:space="preserve"> </w:t>
      </w:r>
      <w:r>
        <w:t xml:space="preserve">persona:</w:t>
      </w:r>
      <w:r>
        <w:t xml:space="preserve"> </w:t>
      </w:r>
      <w:r>
        <w:t xml:space="preserve">“</w:t>
      </w:r>
      <w:r>
        <w:t xml:space="preserve">Sarah Miller, Senior Analyst</w:t>
      </w:r>
      <w:r>
        <w:t xml:space="preserve">”</w:t>
      </w:r>
      <w:r>
        <w:t xml:space="preserve"> </w:t>
      </w:r>
      <w:r>
        <w:t xml:space="preserve">event:</w:t>
      </w:r>
      <w:r>
        <w:t xml:space="preserve"> </w:t>
      </w:r>
      <w:r>
        <w:t xml:space="preserve">“</w:t>
      </w:r>
      <w:r>
        <w:t xml:space="preserve">Internal Transfer from Field Operations (Dept 400) to Cyber Policy (Dept 800)</w:t>
      </w:r>
      <w:r>
        <w:t xml:space="preserve">”</w:t>
      </w:r>
      <w:r>
        <w:t xml:space="preserve"> </w:t>
      </w:r>
      <w:r>
        <w:t xml:space="preserve">narrative: &gt;</w:t>
      </w:r>
      <w:r>
        <w:t xml:space="preserve"> </w:t>
      </w:r>
      <w:r>
        <w:t xml:space="preserve">The Mover scenario demonstrates Zero-Touch internal transfers.</w:t>
      </w:r>
      <w:r>
        <w:t xml:space="preserve"> </w:t>
      </w:r>
      <w:r>
        <w:t xml:space="preserve">When the HRIS updates Sarah’s department ID, the Entra ID</w:t>
      </w:r>
      <w:r>
        <w:t xml:space="preserve"> </w:t>
      </w:r>
      <w:r>
        <w:t xml:space="preserve">Provisioning Service detects the attribute change within one hour.</w:t>
      </w:r>
      <w:r>
        <w:t xml:space="preserve"> </w:t>
      </w:r>
      <w:r>
        <w:t xml:space="preserve">The ABAC engine evaluates her identity against dynamic groups.</w:t>
      </w:r>
      <w:r>
        <w:t xml:space="preserve"> </w:t>
      </w:r>
      <w:r>
        <w:t xml:space="preserve">She is automatically removed from Field Ops Users (department eq 400)</w:t>
      </w:r>
      <w:r>
        <w:t xml:space="preserve"> </w:t>
      </w:r>
      <w:r>
        <w:t xml:space="preserve">and added to Cyber Policy Users (department eq 800). Access to</w:t>
      </w:r>
      <w:r>
        <w:t xml:space="preserve"> </w:t>
      </w:r>
      <w:r>
        <w:t xml:space="preserve">Field Operations SharePoint is revoked while Cyber Policy Teams</w:t>
      </w:r>
      <w:r>
        <w:t xml:space="preserve"> </w:t>
      </w:r>
      <w:r>
        <w:t xml:space="preserve">channel, Agency Policy Repository, and Moderate-Security Azure</w:t>
      </w:r>
      <w:r>
        <w:t xml:space="preserve"> </w:t>
      </w:r>
      <w:r>
        <w:t xml:space="preserve">enclave are provisioned instantly. Conditional Access updates to</w:t>
      </w:r>
      <w:r>
        <w:t xml:space="preserve"> </w:t>
      </w:r>
      <w:r>
        <w:t xml:space="preserve">require phishing-resistant MFA (PIV Card) for policy-specific</w:t>
      </w:r>
      <w:r>
        <w:t xml:space="preserve"> </w:t>
      </w:r>
      <w:r>
        <w:t xml:space="preserve">resources. The Sync Orchestrator updates her ServiceNow CI record</w:t>
      </w:r>
      <w:r>
        <w:t xml:space="preserve"> </w:t>
      </w:r>
      <w:r>
        <w:t xml:space="preserve">and notifies the Cyber Policy Lead via MS Teams.</w:t>
      </w:r>
      <w:r>
        <w:t xml:space="preserve"> </w:t>
      </w:r>
      <w:r>
        <w:t xml:space="preserve">metrics:</w:t>
      </w:r>
      <w:r>
        <w:t xml:space="preserve"> </w:t>
      </w:r>
      <w:r>
        <w:t xml:space="preserve">time_to_productivity:</w:t>
      </w:r>
      <w:r>
        <w:t xml:space="preserve"> </w:t>
      </w:r>
      <w:r>
        <w:t xml:space="preserve">“</w:t>
      </w:r>
      <w:r>
        <w:t xml:space="preserve">Reduced from 5-7 days to less than 60 minutes</w:t>
      </w:r>
      <w:r>
        <w:t xml:space="preserve">”</w:t>
      </w:r>
      <w:r>
        <w:t xml:space="preserve"> </w:t>
      </w:r>
      <w:r>
        <w:t xml:space="preserve">security_risk:</w:t>
      </w:r>
      <w:r>
        <w:t xml:space="preserve"> </w:t>
      </w:r>
      <w:r>
        <w:t xml:space="preserve">“</w:t>
      </w:r>
      <w:r>
        <w:t xml:space="preserve">Eliminated access creep from accumulated permissions</w:t>
      </w:r>
      <w:r>
        <w:t xml:space="preserve">”</w:t>
      </w:r>
      <w:r>
        <w:t xml:space="preserve"> </w:t>
      </w:r>
      <w:r>
        <w:t xml:space="preserve">admin_load:</w:t>
      </w:r>
      <w:r>
        <w:t xml:space="preserve"> </w:t>
      </w:r>
      <w:r>
        <w:t xml:space="preserve">“</w:t>
      </w:r>
      <w:r>
        <w:t xml:space="preserve">100% reduction in manual group management for transfers</w:t>
      </w:r>
      <w:r>
        <w:t xml:space="preserve">”</w:t>
      </w:r>
      <w:r>
        <w:t xml:space="preserve"> </w:t>
      </w:r>
      <w:r>
        <w:t xml:space="preserve">leaver_scenario:</w:t>
      </w:r>
      <w:r>
        <w:t xml:space="preserve"> </w:t>
      </w:r>
      <w:r>
        <w:t xml:space="preserve">persona:</w:t>
      </w:r>
      <w:r>
        <w:t xml:space="preserve"> </w:t>
      </w:r>
      <w:r>
        <w:t xml:space="preserve">“</w:t>
      </w:r>
      <w:r>
        <w:t xml:space="preserve">James Vance, Contractor</w:t>
      </w:r>
      <w:r>
        <w:t xml:space="preserve">”</w:t>
      </w:r>
      <w:r>
        <w:t xml:space="preserve"> </w:t>
      </w:r>
      <w:r>
        <w:t xml:space="preserve">event:</w:t>
      </w:r>
      <w:r>
        <w:t xml:space="preserve"> </w:t>
      </w:r>
      <w:r>
        <w:t xml:space="preserve">“</w:t>
      </w:r>
      <w:r>
        <w:t xml:space="preserve">Immediate Separation (End of Contract / High-Risk Departure)</w:t>
      </w:r>
      <w:r>
        <w:t xml:space="preserve">”</w:t>
      </w:r>
      <w:r>
        <w:t xml:space="preserve"> </w:t>
      </w:r>
      <w:r>
        <w:t xml:space="preserve">narrative: &gt;</w:t>
      </w:r>
      <w:r>
        <w:t xml:space="preserve"> </w:t>
      </w:r>
      <w:r>
        <w:t xml:space="preserve">The Leaver scenario demonstrates the automated kill switch.</w:t>
      </w:r>
      <w:r>
        <w:t xml:space="preserve"> </w:t>
      </w:r>
      <w:r>
        <w:t xml:space="preserve">When HR finalizes the separation, the HRIS pushes a status update</w:t>
      </w:r>
      <w:r>
        <w:t xml:space="preserve"> </w:t>
      </w:r>
      <w:r>
        <w:t xml:space="preserve">setting Employee Status to Terminated with immediate effect.</w:t>
      </w:r>
      <w:r>
        <w:t xml:space="preserve"> </w:t>
      </w:r>
      <w:r>
        <w:t xml:space="preserve">Entra ID disables the account within seconds, blocking all new</w:t>
      </w:r>
      <w:r>
        <w:t xml:space="preserve"> </w:t>
      </w:r>
      <w:r>
        <w:t xml:space="preserve">sign-in sessions across M365, Azure, ServiceNow, and federated</w:t>
      </w:r>
      <w:r>
        <w:t xml:space="preserve"> </w:t>
      </w:r>
      <w:r>
        <w:t xml:space="preserve">apps. Continuous Access Evaluation (CAE) issues a revocation</w:t>
      </w:r>
      <w:r>
        <w:t xml:space="preserve"> </w:t>
      </w:r>
      <w:r>
        <w:t xml:space="preserve">signal to all supporting apps, terminating active sessions</w:t>
      </w:r>
      <w:r>
        <w:t xml:space="preserve"> </w:t>
      </w:r>
      <w:r>
        <w:t xml:space="preserve">instantly without waiting for token expiry. The Sync Orchestrator</w:t>
      </w:r>
      <w:r>
        <w:t xml:space="preserve"> </w:t>
      </w:r>
      <w:r>
        <w:t xml:space="preserve">moves all assigned assets (laptop, PIV card, mobile) to</w:t>
      </w:r>
      <w:r>
        <w:t xml:space="preserve"> </w:t>
      </w:r>
      <w:r>
        <w:t xml:space="preserve">In Stock Pending Recovery status in ServiceNow and generates</w:t>
      </w:r>
      <w:r>
        <w:t xml:space="preserve"> </w:t>
      </w:r>
      <w:r>
        <w:t xml:space="preserve">a high-priority recovery ticket for Physical Security. Sentinel</w:t>
      </w:r>
      <w:r>
        <w:t xml:space="preserve"> </w:t>
      </w:r>
      <w:r>
        <w:t xml:space="preserve">logs the disablement and monitors for failed login attempts.</w:t>
      </w:r>
      <w:r>
        <w:t xml:space="preserve"> </w:t>
      </w:r>
      <w:r>
        <w:t xml:space="preserve">A final Atlas Report is sent to the Department Lead and Security</w:t>
      </w:r>
      <w:r>
        <w:t xml:space="preserve"> </w:t>
      </w:r>
      <w:r>
        <w:t xml:space="preserve">via MS Teams.</w:t>
      </w:r>
      <w:r>
        <w:t xml:space="preserve"> </w:t>
      </w:r>
      <w:r>
        <w:t xml:space="preserve">metrics:</w:t>
      </w:r>
      <w:r>
        <w:t xml:space="preserve"> </w:t>
      </w:r>
      <w:r>
        <w:t xml:space="preserve">revocation_latency:</w:t>
      </w:r>
      <w:r>
        <w:t xml:space="preserve"> </w:t>
      </w:r>
      <w:r>
        <w:t xml:space="preserve">“</w:t>
      </w:r>
      <w:r>
        <w:t xml:space="preserve">Reduced from hours/days to less than 120 seconds</w:t>
      </w:r>
      <w:r>
        <w:t xml:space="preserve">”</w:t>
      </w:r>
      <w:r>
        <w:t xml:space="preserve"> </w:t>
      </w:r>
      <w:r>
        <w:t xml:space="preserve">audit_compliance:</w:t>
      </w:r>
      <w:r>
        <w:t xml:space="preserve"> </w:t>
      </w:r>
      <w:r>
        <w:t xml:space="preserve">“</w:t>
      </w:r>
      <w:r>
        <w:t xml:space="preserve">100% automated logging for FISMA and GCC-Moderate separation</w:t>
      </w:r>
      <w:r>
        <w:t xml:space="preserve">”</w:t>
      </w:r>
      <w:r>
        <w:t xml:space="preserve"> </w:t>
      </w:r>
      <w:r>
        <w:t xml:space="preserve">asset_accountability:</w:t>
      </w:r>
      <w:r>
        <w:t xml:space="preserve"> </w:t>
      </w:r>
      <w:r>
        <w:t xml:space="preserve">“</w:t>
      </w:r>
      <w:r>
        <w:t xml:space="preserve">Zero-latency flagging of agency hardware for recovery</w:t>
      </w:r>
      <w:r>
        <w:t xml:space="preserve">”</w:t>
      </w:r>
    </w:p>
    <w:p>
      <w:r>
        <w:pict>
          <v:rect style="width:0;height:1.5pt" o:hralign="center" o:hrstd="t" o:hr="t"/>
        </w:pict>
      </w:r>
    </w:p>
    <w:p>
      <w:pPr>
        <w:pStyle w:val="FirstParagraph"/>
      </w:pPr>
      <w:r>
        <w:rPr>
          <w:iCs/>
          <w:i/>
        </w:rPr>
        <w:t xml:space="preserve">End of Identity Plane Deep Dive v1.0</w:t>
      </w:r>
    </w:p>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Identity Plane Deep Dive</dc:title>
  <dc:creator/>
  <cp:keywords/>
  <dcterms:created xsi:type="dcterms:W3CDTF">2026-03-22T14:48:14Z</dcterms:created>
  <dcterms:modified xsi:type="dcterms:W3CDTF">2026-03-22T14:48:14Z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