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TIC</w:t>
      </w:r>
      <w:r>
        <w:t xml:space="preserve"> </w:t>
      </w:r>
      <w:r>
        <w:t xml:space="preserve">3.0</w:t>
      </w:r>
      <w:r>
        <w:t xml:space="preserve"> </w:t>
      </w:r>
      <w:r>
        <w:t xml:space="preserve">Roadmap</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uiao-tic-3.0-roadmap"/>
    <w:p>
      <w:pPr>
        <w:pStyle w:val="Heading1"/>
      </w:pPr>
      <w:r>
        <w:t xml:space="preserve">UIAO TIC 3.0 Roadmap</w:t>
      </w:r>
    </w:p>
    <w:p>
      <w:pPr>
        <w:pStyle w:val="FirstParagraph"/>
      </w:pPr>
      <w:r>
        <w:rPr>
          <w:bCs/>
          <w:b/>
        </w:rPr>
        <w:t xml:space="preserve">Version 1.0</w:t>
      </w:r>
    </w:p>
    <w:p>
      <w:r>
        <w:pict>
          <v:rect style="width:0;height:1.5pt" o:hralign="center" o:hrstd="t" o:hr="t"/>
        </w:pict>
      </w:r>
    </w:p>
    <w:bookmarkEnd w:id="20"/>
    <w:bookmarkStart w:id="21" w:name="why-tic-3.0-modernization-is-required"/>
    <w:p>
      <w:pPr>
        <w:pStyle w:val="Heading1"/>
      </w:pPr>
      <w:r>
        <w:t xml:space="preserve">Why TIC 3.0 Modernization Is Required</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7" w:name="control-planes-supporting-tic-3.0"/>
    <w:p>
      <w:pPr>
        <w:pStyle w:val="Heading1"/>
      </w:pPr>
      <w:r>
        <w:t xml:space="preserve">Control Planes Supporting TIC 3.0</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core-concepts-supporting-tic-3.0"/>
    <w:p>
      <w:pPr>
        <w:pStyle w:val="Heading1"/>
      </w:pPr>
      <w:r>
        <w:t xml:space="preserve">Core Concepts Supporting TIC 3.0</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frozen-state-risks-tic-3.0-impact"/>
    <w:p>
      <w:pPr>
        <w:pStyle w:val="Heading1"/>
      </w:pPr>
      <w:r>
        <w:t xml:space="preserve">Frozen State Risks (TIC 3.0 Impact)</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36"/>
    <w:bookmarkStart w:id="38" w:name="expected-tic-3.0-outcomes"/>
    <w:p>
      <w:pPr>
        <w:pStyle w:val="Heading1"/>
      </w:pPr>
      <w:r>
        <w:t xml:space="preserve">Expected TIC 3.0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bookmarkStart w:id="37" w:name="Xa469865eab054ea7ec42cc3b4c138d1c8e491b9"/>
    <w:p>
      <w:pPr>
        <w:pStyle w:val="Heading2"/>
      </w:pPr>
      <w:r>
        <w:t xml:space="preserve">The Perimeter Collapse: TIC 2.2 to UIAO (Visual V4)</w:t>
      </w:r>
    </w:p>
    <w:p>
      <w:pPr>
        <w:pStyle w:val="FirstParagraph"/>
      </w:pPr>
      <w:r>
        <w:t xml:space="preserve">The</w:t>
      </w:r>
      <w:r>
        <w:t xml:space="preserve"> </w:t>
      </w:r>
      <w:r>
        <w:t xml:space="preserve">“</w:t>
      </w:r>
      <w:r>
        <w:t xml:space="preserve">Modernization Atlas</w:t>
      </w:r>
      <w:r>
        <w:t xml:space="preserve">”</w:t>
      </w:r>
      <w:r>
        <w:t xml:space="preserve"> </w:t>
      </w:r>
      <w:r>
        <w:t xml:space="preserve">visualizes the fundamental shift from rigid, hardware-bound perimeters to a flexible, software-defined trust fabric. The following table details the</w:t>
      </w:r>
      <w:r>
        <w:t xml:space="preserve"> </w:t>
      </w:r>
      <w:r>
        <w:rPr>
          <w:bCs/>
          <w:b/>
        </w:rPr>
        <w:t xml:space="preserve">Perimeter Collapse</w:t>
      </w:r>
      <w:r>
        <w:t xml:space="preserve">—the decommissioning of legacy silos in favor of the UIAO model.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Modernization Pillar</w:t>
            </w:r>
          </w:p>
        </w:tc>
        <w:tc>
          <w:tcPr/>
          <w:p>
            <w:pPr>
              <w:pStyle w:val="Compact"/>
              <w:jc w:val="left"/>
            </w:pPr>
            <w:r>
              <w:t xml:space="preserve">Legacy State (TIC 2.2)</w:t>
            </w:r>
          </w:p>
        </w:tc>
        <w:tc>
          <w:tcPr/>
          <w:p>
            <w:pPr>
              <w:pStyle w:val="Compact"/>
              <w:jc w:val="left"/>
            </w:pPr>
            <w:r>
              <w:t xml:space="preserve">UIAO Future State (TIC 3.0)</w:t>
            </w:r>
          </w:p>
        </w:tc>
        <w:tc>
          <w:tcPr/>
          <w:p>
            <w:pPr>
              <w:pStyle w:val="Compact"/>
              <w:jc w:val="left"/>
            </w:pPr>
            <w:r>
              <w:t xml:space="preserve">Strategic Mission Impact</w:t>
            </w:r>
          </w:p>
        </w:tc>
      </w:tr>
      <w:tr>
        <w:tc>
          <w:tcPr/>
          <w:p>
            <w:pPr>
              <w:pStyle w:val="Compact"/>
              <w:jc w:val="left"/>
            </w:pPr>
            <w:r>
              <w:rPr>
                <w:bCs/>
                <w:b/>
              </w:rPr>
              <w:t xml:space="preserve">Connectivity</w:t>
            </w:r>
          </w:p>
        </w:tc>
        <w:tc>
          <w:tcPr/>
          <w:p>
            <w:pPr>
              <w:pStyle w:val="Compact"/>
              <w:jc w:val="left"/>
            </w:pPr>
            <w:r>
              <w:t xml:space="preserve">MTIPS / Hub-and-Spoke (Centralized Circuit Bottlenecks)</w:t>
            </w:r>
          </w:p>
        </w:tc>
        <w:tc>
          <w:tcPr/>
          <w:p>
            <w:pPr>
              <w:pStyle w:val="Compact"/>
              <w:jc w:val="left"/>
            </w:pPr>
            <w:r>
              <w:rPr>
                <w:bCs/>
                <w:b/>
              </w:rPr>
              <w:t xml:space="preserve">Cisco SD-WAN Overlay with Direct Internet Access (DIA)</w:t>
            </w:r>
          </w:p>
        </w:tc>
        <w:tc>
          <w:tcPr/>
          <w:p>
            <w:pPr>
              <w:pStyle w:val="Compact"/>
              <w:jc w:val="left"/>
            </w:pPr>
            <w:r>
              <w:t xml:space="preserve">Eliminates circuit-based latency and MTIPS hair-pinning.</w:t>
            </w:r>
          </w:p>
        </w:tc>
      </w:tr>
      <w:tr>
        <w:tc>
          <w:tcPr/>
          <w:p>
            <w:pPr>
              <w:pStyle w:val="Compact"/>
              <w:jc w:val="left"/>
            </w:pPr>
            <w:r>
              <w:rPr>
                <w:bCs/>
                <w:b/>
              </w:rPr>
              <w:t xml:space="preserve">Enforcement</w:t>
            </w:r>
          </w:p>
        </w:tc>
        <w:tc>
          <w:tcPr/>
          <w:p>
            <w:pPr>
              <w:pStyle w:val="Compact"/>
              <w:jc w:val="left"/>
            </w:pPr>
            <w:r>
              <w:t xml:space="preserve">Static Physical PEPs (Hardware Firewalls &amp; IDS Silos)</w:t>
            </w:r>
          </w:p>
        </w:tc>
        <w:tc>
          <w:tcPr/>
          <w:p>
            <w:pPr>
              <w:pStyle w:val="Compact"/>
              <w:jc w:val="left"/>
            </w:pPr>
            <w:r>
              <w:rPr>
                <w:bCs/>
                <w:b/>
              </w:rPr>
              <w:t xml:space="preserve">Distributed PEPs (Virtual Security &amp; Trust Zone Boundaries)</w:t>
            </w:r>
          </w:p>
        </w:tc>
        <w:tc>
          <w:tcPr/>
          <w:p>
            <w:pPr>
              <w:pStyle w:val="Compact"/>
              <w:jc w:val="left"/>
            </w:pPr>
            <w:r>
              <w:t xml:space="preserve">Moves protection to the data/user boundary (TIC 3.0 Zones).</w:t>
            </w:r>
          </w:p>
        </w:tc>
      </w:tr>
      <w:tr>
        <w:tc>
          <w:tcPr/>
          <w:p>
            <w:pPr>
              <w:pStyle w:val="Compact"/>
              <w:jc w:val="left"/>
            </w:pPr>
            <w:r>
              <w:rPr>
                <w:bCs/>
                <w:b/>
              </w:rPr>
              <w:t xml:space="preserve">Trust Model</w:t>
            </w:r>
          </w:p>
        </w:tc>
        <w:tc>
          <w:tcPr/>
          <w:p>
            <w:pPr>
              <w:pStyle w:val="Compact"/>
              <w:jc w:val="left"/>
            </w:pPr>
            <w:r>
              <w:t xml:space="preserve">Location-Based Trust (On-Prem = Trusted)</w:t>
            </w:r>
          </w:p>
        </w:tc>
        <w:tc>
          <w:tcPr/>
          <w:p>
            <w:pPr>
              <w:pStyle w:val="Compact"/>
              <w:jc w:val="left"/>
            </w:pPr>
            <w:r>
              <w:rPr>
                <w:bCs/>
                <w:b/>
              </w:rPr>
              <w:t xml:space="preserve">Cryptographically Proven Identity (mTLS &amp; FIDO2)</w:t>
            </w:r>
          </w:p>
        </w:tc>
        <w:tc>
          <w:tcPr/>
          <w:p>
            <w:pPr>
              <w:pStyle w:val="Compact"/>
              <w:jc w:val="left"/>
            </w:pPr>
            <w:r>
              <w:t xml:space="preserve">Prevents lateral movement; zero implicit network trust.</w:t>
            </w:r>
          </w:p>
        </w:tc>
      </w:tr>
      <w:tr>
        <w:tc>
          <w:tcPr/>
          <w:p>
            <w:pPr>
              <w:pStyle w:val="Compact"/>
              <w:jc w:val="left"/>
            </w:pPr>
            <w:r>
              <w:rPr>
                <w:bCs/>
                <w:b/>
              </w:rPr>
              <w:t xml:space="preserve">Routing</w:t>
            </w:r>
          </w:p>
        </w:tc>
        <w:tc>
          <w:tcPr/>
          <w:p>
            <w:pPr>
              <w:pStyle w:val="Compact"/>
              <w:jc w:val="left"/>
            </w:pPr>
            <w:r>
              <w:t xml:space="preserve">Static MPLS Hairpinning to Data Centers</w:t>
            </w:r>
          </w:p>
        </w:tc>
        <w:tc>
          <w:tcPr/>
          <w:p>
            <w:pPr>
              <w:pStyle w:val="Compact"/>
              <w:jc w:val="left"/>
            </w:pPr>
            <w:r>
              <w:rPr>
                <w:bCs/>
                <w:b/>
              </w:rPr>
              <w:t xml:space="preserve">Dynamic Microsoft INR (Internet Routing) Optimization</w:t>
            </w:r>
          </w:p>
        </w:tc>
        <w:tc>
          <w:tcPr/>
          <w:p>
            <w:pPr>
              <w:pStyle w:val="Compact"/>
              <w:jc w:val="left"/>
            </w:pPr>
            <w:r>
              <w:t xml:space="preserve">Optimizes path performance for Cloud/SaaS-heavy workloads.</w:t>
            </w:r>
          </w:p>
        </w:tc>
      </w:tr>
    </w:tbl>
    <w:p>
      <w:pPr>
        <w:pStyle w:val="BlockText"/>
      </w:pPr>
      <w:r>
        <w:rPr>
          <w:bCs/>
          <w:b/>
        </w:rPr>
        <w:t xml:space="preserve">Foreman’s Directive:</w:t>
      </w:r>
      <w:r>
        <w:t xml:space="preserve"> </w:t>
      </w:r>
      <w:r>
        <w:t xml:space="preserve">This transition is verified by the</w:t>
      </w:r>
      <w:r>
        <w:t xml:space="preserve"> </w:t>
      </w:r>
      <w:r>
        <w:rPr>
          <w:bCs/>
          <w:b/>
        </w:rPr>
        <w:t xml:space="preserve">V4 Modernization Atlas</w:t>
      </w:r>
      <w:r>
        <w:t xml:space="preserve"> </w:t>
      </w:r>
      <w:r>
        <w:t xml:space="preserve">graphic. By collapsing these silos,</w:t>
      </w:r>
      <w:r>
        <w:t xml:space="preserve"> </w:t>
      </w:r>
      <w:r>
        <w:rPr>
          <w:bCs/>
          <w:b/>
        </w:rPr>
        <w:t xml:space="preserve">the agency</w:t>
      </w:r>
      <w:r>
        <w:t xml:space="preserve"> </w:t>
      </w:r>
      <w:r>
        <w:t xml:space="preserve">achieves the</w:t>
      </w:r>
      <w:r>
        <w:t xml:space="preserve"> </w:t>
      </w:r>
      <w:r>
        <w:t xml:space="preserve">‘</w:t>
      </w:r>
      <w:r>
        <w:t xml:space="preserve">Advanced</w:t>
      </w:r>
      <w:r>
        <w:t xml:space="preserve">’</w:t>
      </w:r>
      <w:r>
        <w:t xml:space="preserve"> </w:t>
      </w:r>
      <w:r>
        <w:t xml:space="preserve">level in the Network/Environment pillar of the CISA Zero Trust Maturity Model.</w:t>
      </w:r>
    </w:p>
    <w:p>
      <w:r>
        <w:pict>
          <v:rect style="width:0;height:1.5pt" o:hralign="center" o:hrstd="t" o:hr="t"/>
        </w:pict>
      </w:r>
    </w:p>
    <w:p>
      <w:pPr>
        <w:pStyle w:val="FirstParagraph"/>
      </w:pPr>
      <w:r>
        <w:rPr>
          <w:iCs/>
          <w:i/>
        </w:rPr>
        <w:t xml:space="preserve">End of TIC 3.0 Roadmap v1.0</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TIC 3.0 Roadmap</dc:title>
  <dc:creator/>
  <cp:keywords/>
  <dcterms:created xsi:type="dcterms:W3CDTF">2026-03-22T15:06:07Z</dcterms:created>
  <dcterms:modified xsi:type="dcterms:W3CDTF">2026-03-22T15:06:07Z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