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IX Book 00 — Federal Application-Aware Networking — Volume IX Overview: ServiceNow Day-2 Operations</w:t>
      </w:r>
    </w:p>
    <w:p>
      <w:pPr>
        <w:pStyle w:val="Subtitle"/>
      </w:pPr>
      <w:r>
        <w:t xml:space="preserve">Extending the coordination layer from compliance drift to the governed day-2 catalog — helpdesk, landing zone, app registrations, and telephony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irstParagraph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FirstParagraph"/>
      </w:pPr>
      <w:r>
        <w:t xml:space="preserve">This document is a</w:t>
      </w:r>
      <w:r>
        <w:t xml:space="preserve"> </w:t>
      </w:r>
      <w:r>
        <w:rPr>
          <w:b/>
          <w:bCs/>
        </w:rPr>
        <w:t xml:space="preserve">draft proposal</w:t>
      </w:r>
      <w:r>
        <w:t xml:space="preserve"> </w:t>
      </w: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. It has not been reviewed or approved by the SSA CIO Office, the Office of Information Security (OIS), or organizational leadership.</w:t>
      </w:r>
    </w:p>
    <w:p>
      <w:pPr>
        <w:pStyle w:val="BodyText"/>
      </w:pP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BodyTex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This is the Volume IX overview of the Federal Application-Aware Networking series. Volume VII established the ServiceNow</w:t>
      </w:r>
      <w:r>
        <w:t xml:space="preserve"> </w:t>
      </w:r>
      <w:r>
        <w:rPr>
          <w:b/>
          <w:bCs/>
        </w:rPr>
        <w:t xml:space="preserve">coordination layer</w:t>
      </w:r>
      <w:r>
        <w:t xml:space="preserve"> </w:t>
      </w:r>
      <w:r>
        <w:t xml:space="preserve">for control-compliance drift on M365 and Azure.</w:t>
      </w:r>
      <w:r>
        <w:t xml:space="preserve"> </w:t>
      </w:r>
      <w:r>
        <w:rPr>
          <w:b/>
          <w:bCs/>
        </w:rPr>
        <w:t xml:space="preserve">Volume IX extends that same layer to day-2 operations</w:t>
      </w:r>
      <w:r>
        <w:t xml:space="preserve"> </w:t>
      </w:r>
      <w:r>
        <w:t xml:space="preserve">— the governed catalog for the common Entra / M365 / Azure helpdesk tasks, the landing-zone front door, app-registration governance, and Teams telephony. Where Vol VII asks</w:t>
      </w:r>
      <w:r>
        <w:t xml:space="preserve"> </w:t>
      </w:r>
      <w:r>
        <w:rPr>
          <w:i/>
          <w:iCs/>
        </w:rPr>
        <w:t xml:space="preserve">“is this control drifting?”</w:t>
      </w:r>
      <w:r>
        <w:t xml:space="preserve">, Volume IX asks</w:t>
      </w:r>
      <w:r>
        <w:t xml:space="preserve"> </w:t>
      </w:r>
      <w:r>
        <w:rPr>
          <w:i/>
          <w:iCs/>
        </w:rPr>
        <w:t xml:space="preserve">“is this operator request governed, least-privilege, and evidenced?”</w:t>
      </w:r>
      <w:r>
        <w:t xml:space="preserve"> </w:t>
      </w:r>
      <w:r>
        <w:t xml:space="preserve">— the same coordination discipline, applied to the work a service desk does every day.</w:t>
      </w:r>
    </w:p>
    <w:bookmarkStart w:id="10" w:name="X55751723290fe2b65c53fd8abf8793ca4a9b895"/>
    <w:p>
      <w:pPr>
        <w:pStyle w:val="Heading2"/>
      </w:pPr>
      <w:r>
        <w:t xml:space="preserve">Scope — FedRAMP Moderate &amp; Microsoft GCC Moderate</w:t>
      </w:r>
    </w:p>
    <w:p>
      <w:pPr>
        <w:pStyle w:val="FirstParagraph"/>
      </w:pPr>
      <w:r>
        <w:t xml:space="preserve">This volume targets</w:t>
      </w:r>
      <w:r>
        <w:t xml:space="preserve"> </w:t>
      </w:r>
      <w:r>
        <w:rPr>
          <w:b/>
          <w:bCs/>
        </w:rPr>
        <w:t xml:space="preserve">FedRAMP Moderate + Microsoft GCC Moderate</w:t>
      </w:r>
      <w:r>
        <w:t xml:space="preserve"> </w:t>
      </w:r>
      <w:r>
        <w:t xml:space="preserve">exclusively (M365 GCC + Moderate-targeted Azure). Actuation is via</w:t>
      </w:r>
      <w:r>
        <w:t xml:space="preserve"> </w:t>
      </w:r>
      <w:r>
        <w:rPr>
          <w:b/>
          <w:bCs/>
        </w:rPr>
        <w:t xml:space="preserve">Microsoft Graph through the in-boundary MID Server</w:t>
      </w:r>
      <w:r>
        <w:t xml:space="preserve">; other CSPs and higher boundaries are deferred, consistent with the rest of the current program.</w:t>
      </w:r>
    </w:p>
    <w:bookmarkEnd w:id="10"/>
    <w:bookmarkStart w:id="11" w:name="what-this-volume-addresses"/>
    <w:p>
      <w:pPr>
        <w:pStyle w:val="Heading1"/>
      </w:pPr>
      <w:r>
        <w:t xml:space="preserve">What This Volume Addresses</w:t>
      </w:r>
    </w:p>
    <w:p>
      <w:pPr>
        <w:pStyle w:val="FirstParagraph"/>
      </w:pPr>
      <w:r>
        <w:t xml:space="preserve">Volume VII proved that ServiceNow can operate</w:t>
      </w:r>
      <w:r>
        <w:t xml:space="preserve"> </w:t>
      </w:r>
      <w:r>
        <w:rPr>
          <w:i/>
          <w:iCs/>
        </w:rPr>
        <w:t xml:space="preserve">compliance drift</w:t>
      </w:r>
      <w:r>
        <w:t xml:space="preserve"> </w:t>
      </w:r>
      <w:r>
        <w:t xml:space="preserve">as owned, evidenced work. But the highest-volume work a federal cloud team does is not drift remediation — it is</w:t>
      </w:r>
      <w:r>
        <w:t xml:space="preserve"> </w:t>
      </w:r>
      <w:r>
        <w:rPr>
          <w:b/>
          <w:bCs/>
        </w:rPr>
        <w:t xml:space="preserve">day-2 operations</w:t>
      </w:r>
      <w:r>
        <w:t xml:space="preserve">: onboarding a user, resetting an authenticator, granting a group, standing up a subscription, registering an app, assigning a phone number. Done as portal clicks, each of these is an ungoverned, unevidenced change to an identity-attributed or configuration-controlled surface — exactly the gap an assessor probes.</w:t>
      </w:r>
    </w:p>
    <w:p>
      <w:pPr>
        <w:pStyle w:val="BodyText"/>
      </w:pPr>
      <w:r>
        <w:t xml:space="preserve">This volume applies the Vol VII discipline to that work:</w:t>
      </w:r>
      <w:r>
        <w:t xml:space="preserve"> </w:t>
      </w:r>
      <w:r>
        <w:rPr>
          <w:b/>
          <w:bCs/>
        </w:rPr>
        <w:t xml:space="preserve">every operator request is a typed, control-mapped catalog item; the approval gate is the one the control requires; actuation is Graph through the in-boundary MID (never standing tenant admin); and every action is an audited change record reconciled to the CM-8 join key.</w:t>
      </w:r>
      <w:r>
        <w:t xml:space="preserve"> </w:t>
      </w:r>
      <w:r>
        <w:t xml:space="preserve">The result is that routine operations</w:t>
      </w:r>
      <w:r>
        <w:t xml:space="preserve"> </w:t>
      </w:r>
      <w:r>
        <w:rPr>
          <w:i/>
          <w:iCs/>
        </w:rPr>
        <w:t xml:space="preserve">produce</w:t>
      </w:r>
      <w:r>
        <w:t xml:space="preserve"> </w:t>
      </w:r>
      <w:r>
        <w:t xml:space="preserve">compliance evidence instead of eroding it.</w:t>
      </w:r>
    </w:p>
    <w:bookmarkEnd w:id="11"/>
    <w:bookmarkStart w:id="12" w:name="the-day-2-discipline"/>
    <w:p>
      <w:pPr>
        <w:pStyle w:val="Heading1"/>
      </w:pPr>
      <w:r>
        <w:t xml:space="preserve">The Day-2 Discipline</w:t>
      </w:r>
    </w:p>
    <w:p>
      <w:pPr>
        <w:pStyle w:val="FirstParagraph"/>
      </w:pPr>
      <w:r>
        <w:t xml:space="preserve">Four rules govern every catalog item in this volume — the same coordination contract as Vol VII, expressed for request-driven 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Typed, control-mapped request.</w:t>
      </w:r>
      <w:r>
        <w:t xml:space="preserve"> </w:t>
      </w:r>
      <w:r>
        <w:t xml:space="preserve">No day-2 action is a free-text ticket or a portal click; it is a catalog item bound in the compliance spine to the NIST control it satisfies (see each book’s Authorities table).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approval gate the control requires.</w:t>
      </w:r>
      <w:r>
        <w:t xml:space="preserve"> </w:t>
      </w:r>
      <w:r>
        <w:t xml:space="preserve">A password reset is identity-verified; a Conditional-Access exception needs a security approver; a privileged group is time-bound and reviewed. The gate is a property of the control, not a workflow convenience.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Graph via the in-boundary MID; never standing admin.</w:t>
      </w:r>
      <w:r>
        <w:t xml:space="preserve"> </w:t>
      </w:r>
      <w:r>
        <w:t xml:space="preserve">The connector holds scoped, logged, individually-approved write — never blanket tenant administration over the estate it serves (AC-6).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Audited and reconciled.</w:t>
      </w:r>
      <w:r>
        <w:t xml:space="preserve"> </w:t>
      </w:r>
      <w:r>
        <w:t xml:space="preserve">Every action emits a change/approval record (CM-3 / AU-2) reconciled to the IPAM/DDI-keyed CMDB (CM-8), feeding Vol VII Book 04 attestation.</w:t>
      </w:r>
    </w:p>
    <w:bookmarkEnd w:id="12"/>
    <w:bookmarkStart w:id="17" w:name="books-in-this-volume"/>
    <w:p>
      <w:pPr>
        <w:pStyle w:val="Heading1"/>
      </w:pPr>
      <w:r>
        <w:t xml:space="preserve">Books in This Volume</w:t>
      </w:r>
    </w:p>
    <w:p>
      <w:pPr>
        <w:pStyle w:val="TableCaption"/>
      </w:pPr>
      <w:r>
        <w:t xml:space="preserve">Volume IX — ServiceNow Day-2 Operations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olume IX — ServiceNow Day-2 Operat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Roadmap lane / issue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00</w:t>
            </w:r>
          </w:p>
        </w:tc>
        <w:tc>
          <w:tcPr/>
          <w:p>
            <w:pPr>
              <w:pStyle w:val="Compact"/>
            </w:pPr>
            <w:r>
              <w:t xml:space="preserve">Volume Overview (this book)</w:t>
            </w:r>
          </w:p>
        </w:tc>
        <w:tc>
          <w:tcPr/>
          <w:p>
            <w:pPr>
              <w:pStyle w:val="Compact"/>
            </w:pPr>
            <w:r>
              <w:t xml:space="preserve">The day-2 coordination discipline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01</w:t>
            </w:r>
          </w:p>
        </w:tc>
        <w:tc>
          <w:tcPr/>
          <w:p>
            <w:pPr>
              <w:pStyle w:val="Compact"/>
            </w:pPr>
            <w:r>
              <w:t xml:space="preserve">Helpdesk &amp; ITSM Catalog</w:t>
            </w:r>
          </w:p>
        </w:tc>
        <w:tc>
          <w:tcPr/>
          <w:p>
            <w:pPr>
              <w:pStyle w:val="Compact"/>
            </w:pPr>
            <w:r>
              <w:t xml:space="preserve">JML, password/MFA reset, unlock, group/license, guest invite</w:t>
            </w:r>
          </w:p>
        </w:tc>
        <w:tc>
          <w:tcPr/>
          <w:p>
            <w:pPr>
              <w:pStyle w:val="Compact"/>
            </w:pPr>
            <w:r>
              <w:t xml:space="preserve">Lane C · #1139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02</w:t>
            </w:r>
          </w:p>
        </w:tc>
        <w:tc>
          <w:tcPr/>
          <w:p>
            <w:pPr>
              <w:pStyle w:val="Compact"/>
            </w:pPr>
            <w:r>
              <w:t xml:space="preserve">Landing Zone Front Door</w:t>
            </w:r>
          </w:p>
        </w:tc>
        <w:tc>
          <w:tcPr/>
          <w:p>
            <w:pPr>
              <w:pStyle w:val="Compact"/>
            </w:pPr>
            <w:r>
              <w:t xml:space="preserve">Catalog request → change-controlled IaC → CMDB reconcile</w:t>
            </w:r>
          </w:p>
        </w:tc>
        <w:tc>
          <w:tcPr/>
          <w:p>
            <w:pPr>
              <w:pStyle w:val="Compact"/>
            </w:pPr>
            <w:r>
              <w:t xml:space="preserve">Lane 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03</w:t>
            </w:r>
          </w:p>
        </w:tc>
        <w:tc>
          <w:tcPr/>
          <w:p>
            <w:pPr>
              <w:pStyle w:val="Compact"/>
            </w:pPr>
            <w:r>
              <w:t xml:space="preserve">App Registration Governance</w:t>
            </w:r>
          </w:p>
        </w:tc>
        <w:tc>
          <w:tcPr/>
          <w:p>
            <w:pPr>
              <w:pStyle w:val="Compact"/>
            </w:pPr>
            <w:r>
              <w:t xml:space="preserve">Request → scoped consent → secret/cert lifecycle → attestation</w:t>
            </w:r>
          </w:p>
        </w:tc>
        <w:tc>
          <w:tcPr/>
          <w:p>
            <w:pPr>
              <w:pStyle w:val="Compact"/>
            </w:pPr>
            <w:r>
              <w:t xml:space="preserve">Lane E · #1140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04</w:t>
            </w:r>
          </w:p>
        </w:tc>
        <w:tc>
          <w:tcPr/>
          <w:p>
            <w:pPr>
              <w:pStyle w:val="Compact"/>
            </w:pPr>
            <w:r>
              <w:t xml:space="preserve">Teams Telephony Catalog</w:t>
            </w:r>
          </w:p>
        </w:tc>
        <w:tc>
          <w:tcPr/>
          <w:p>
            <w:pPr>
              <w:pStyle w:val="Compact"/>
            </w:pPr>
            <w:r>
              <w:t xml:space="preserve">Number/calling-policy/E911 catalog + Teams SCuBA drift</w:t>
            </w:r>
          </w:p>
        </w:tc>
        <w:tc>
          <w:tcPr/>
          <w:p>
            <w:pPr>
              <w:pStyle w:val="Compact"/>
            </w:pPr>
            <w:r>
              <w:t xml:space="preserve">§4 · #1141</w:t>
            </w:r>
          </w:p>
        </w:tc>
      </w:tr>
    </w:tbl>
    <w:bookmarkStart w:id="16" w:name="fig-vol9-map"/>
    <w:p>
      <w:pPr>
        <w:pStyle w:val="CaptionedFigure"/>
      </w:pPr>
      <w:r>
        <w:drawing>
          <wp:inline>
            <wp:extent cx="5334000" cy="3000375"/>
            <wp:effectExtent b="0" l="0" r="0" t="0"/>
            <wp:docPr descr="Volume IX book map — the governed day-2 catalog (helpdesk, landing zone, app registrations) over a voice-and-evidence row, all reconciled to the CM-8 join key" title="" id="14" name="Picture"/>
            <a:graphic>
              <a:graphicData uri="http://schemas.openxmlformats.org/drawingml/2006/picture">
                <pic:pic>
                  <pic:nvPicPr>
                    <pic:cNvPr descr="figs/vol9b00-fig-01-volume-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Volume IX book map — the governed day-2 catalog (helpdesk, landing zone, app registrations) over a voice-and-evidence row, all reconciled to the CM-8 join key</w:t>
      </w:r>
    </w:p>
    <w:bookmarkEnd w:id="16"/>
    <w:bookmarkEnd w:id="17"/>
    <w:bookmarkStart w:id="19" w:name="X9b76bf7812ac7eacc4e91078b40cecc3562f703"/>
    <w:p>
      <w:pPr>
        <w:pStyle w:val="Heading1"/>
      </w:pPr>
      <w:r>
        <w:t xml:space="preserve">Closure Necessity — Operations That Evidence Themselves</w:t>
      </w:r>
    </w:p>
    <w:bookmarkStart w:id="18" w:name="X9e09ba38af5ded104d4b304f915e6d205cb3faf"/>
    <w:p>
      <w:pPr>
        <w:pStyle w:val="Heading2"/>
      </w:pPr>
      <w:r>
        <w:t xml:space="preserve">Closure Necessity — an ungoverned routine action is a standing finding</w:t>
      </w:r>
    </w:p>
    <w:p>
      <w:pPr>
        <w:pStyle w:val="FirstParagraph"/>
      </w:pPr>
      <w:r>
        <w:t xml:space="preserve">Volume IX does not re-close the identity and configuration mechanisms Volumes I, VI, and VII establish. Its necessity is operational:</w:t>
      </w:r>
      <w:r>
        <w:t xml:space="preserve"> </w:t>
      </w:r>
      <w:r>
        <w:rPr>
          <w:b/>
          <w:bCs/>
        </w:rPr>
        <w:t xml:space="preserve">the highest-frequency changes to the estate are day-2 requests, and if they are not governed, approved, least-privilege, and evidenced, they are the largest continuous source of control erosion an assessor will find.</w:t>
      </w:r>
      <w:r>
        <w:t xml:space="preserve"> </w:t>
      </w:r>
      <w:r>
        <w:t xml:space="preserve">AC-2 is not satisfied by a JML someone does by hand; IA-5 is not satisfied by a help-desk password reset with no identity proofing; AC-6 is not satisfied by a standing-admin group grant. This volume makes routine operations</w:t>
      </w:r>
      <w:r>
        <w:t xml:space="preserve"> </w:t>
      </w:r>
      <w:r>
        <w:rPr>
          <w:i/>
          <w:iCs/>
        </w:rPr>
        <w:t xml:space="preserve">produce</w:t>
      </w:r>
      <w:r>
        <w:t xml:space="preserve"> </w:t>
      </w:r>
      <w:r>
        <w:t xml:space="preserve">the evidence the authorization package needs.</w:t>
      </w:r>
    </w:p>
    <w:bookmarkEnd w:id="18"/>
    <w:bookmarkEnd w:id="19"/>
    <w:bookmarkStart w:id="20" w:name="how-this-volume-fits-the-program"/>
    <w:p>
      <w:pPr>
        <w:pStyle w:val="Heading1"/>
      </w:pPr>
      <w:r>
        <w:t xml:space="preserve">How This Volume Fits the Program</w:t>
      </w:r>
    </w:p>
    <w:p>
      <w:pPr>
        <w:pStyle w:val="FirstParagraph"/>
      </w:pPr>
      <w:r>
        <w:t xml:space="preserve">Volume IX</w:t>
      </w:r>
      <w:r>
        <w:t xml:space="preserve"> </w:t>
      </w:r>
      <w:r>
        <w:rPr>
          <w:b/>
          <w:bCs/>
        </w:rPr>
        <w:t xml:space="preserve">depends on</w:t>
      </w:r>
      <w:r>
        <w:t xml:space="preserve"> </w:t>
      </w:r>
      <w:r>
        <w:t xml:space="preserve">Volume I’s naming plane (the CM-8 join key), Volume VII’s coordination pattern and scoped-app discipline, and Volume VI’s landing-zone and identity-as-code artifacts (the IaC the landing-zone front door drives). It</w:t>
      </w:r>
      <w:r>
        <w:t xml:space="preserve"> </w:t>
      </w:r>
      <w:r>
        <w:rPr>
          <w:b/>
          <w:bCs/>
        </w:rPr>
        <w:t xml:space="preserve">produces</w:t>
      </w:r>
      <w:r>
        <w:t xml:space="preserve"> </w:t>
      </w:r>
      <w:r>
        <w:t xml:space="preserve">the audited, control-mapped operational record that Vol VII Book 04 lifts into attestation and the FedRAMP 20x KSI feed. Truth is separated from enforcement throughout: IPAM/DDI and HRIT remain the truth planes; the day-2 catalog is a coordination/enforcement plane on top of them.</w:t>
      </w:r>
    </w:p>
    <w:bookmarkEnd w:id="20"/>
    <w:bookmarkStart w:id="21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VII (all books)</w:t>
      </w:r>
      <w:r>
        <w:t xml:space="preserve"> </w:t>
      </w:r>
      <w:r>
        <w:t xml:space="preserve">— the compliance-coordination layer this volume extends to day-2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04 (HRIT Identity SSOT)</w:t>
      </w:r>
      <w:r>
        <w:t xml:space="preserve"> </w:t>
      </w:r>
      <w:r>
        <w:t xml:space="preserve">— the identity source of truth the JML catalog provisions from.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 Book 01/02 (Landing Zone / Identity as Code)</w:t>
      </w:r>
      <w:r>
        <w:t xml:space="preserve"> </w:t>
      </w:r>
      <w:r>
        <w:t xml:space="preserve">— the IaC the landing-zone front door drives.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06 (Federal Telecommunications Modernization)</w:t>
      </w:r>
      <w:r>
        <w:t xml:space="preserve"> </w:t>
      </w:r>
      <w:r>
        <w:t xml:space="preserve">— the telephony architecture Book 04 puts a catalog 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servicenow-day2/helpdesk-control-map.json</w:t>
      </w:r>
      <w:r>
        <w:t xml:space="preserve"> </w:t>
      </w:r>
      <w:r>
        <w:t xml:space="preserve">— the machine-readable catalog → control binding.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aan-compliance-spine.yml</w:t>
      </w:r>
      <w:r>
        <w:t xml:space="preserve"> </w:t>
      </w:r>
      <w:r>
        <w:t xml:space="preserve">— the SSOT registering this volume (</w:t>
      </w:r>
      <w:r>
        <w:rPr>
          <w:rStyle w:val="VerbatimChar"/>
        </w:rPr>
        <w:t xml:space="preserve">vol-9</w:t>
      </w:r>
      <w:r>
        <w:t xml:space="preserve">) and its closures.</w:t>
      </w:r>
    </w:p>
    <w:bookmarkEnd w:id="21"/>
    <w:bookmarkStart w:id="22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This overview establishes the day-2 operations layer of the series, extending Volume VII’s coordination doctrine. Functions and planes are named, not organizations; ServiceNow is the deployed coordination example; the substitution path is preserved where a workflow platform is interchangeable. Every book carries a Date Code. The volume map above is authored as committed house-style SVG per ADR-093, rendered to PNG at 3× for crisp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zoom; further per-book figures follow in the figure pass.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IX Book 00 — Federal Application-Aware Networking — Volume IX Overview: ServiceNow Day-2 Operations</dc:title>
  <dc:creator>SSA Cloud Services Team</dc:creator>
  <cp:keywords/>
  <dcterms:created xsi:type="dcterms:W3CDTF">2026-07-12T23:10:41Z</dcterms:created>
  <dcterms:modified xsi:type="dcterms:W3CDTF">2026-07-12T23:10:41Z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Extending the coordination layer from compliance drift to the governed day-2 catalog — helpdesk, landing zone, app registrations, and telephony</vt:lpwstr>
  </property>
</Properties>
</file>