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Agency Authorization Package (20x KSI Evidence Schema),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with ConMon evidence modeled on the</w:t>
      </w:r>
      <w:r>
        <w:t xml:space="preserve"> </w:t>
      </w:r>
      <w:r>
        <w:t xml:space="preserve">FedRAMP 20x CR26 KSI schema (29 rules in the ADR-111 rule set). This document</w:t>
      </w:r>
      <w:r>
        <w:t xml:space="preserve"> </w:t>
      </w:r>
      <w:r>
        <w:t xml:space="preserve">assembles those artifacts into the</w:t>
      </w:r>
      <w:r>
        <w:t xml:space="preserve"> </w:t>
      </w:r>
      <w:r>
        <w:rPr>
          <w:b/>
          <w:bCs/>
        </w:rPr>
        <w:t xml:space="preserve">agency RMF authorization package</w:t>
      </w:r>
      <w:r>
        <w:t xml:space="preserve"> </w:t>
      </w:r>
      <w:r>
        <w:t xml:space="preserve">— the</w:t>
      </w:r>
      <w:r>
        <w:t xml:space="preserve"> </w:t>
      </w:r>
      <w:r>
        <w:t xml:space="preserve">formal package presented to the SSA Authorizing Official for an agency</w:t>
      </w:r>
      <w:r>
        <w:t xml:space="preserve"> </w:t>
      </w:r>
      <w:r>
        <w:t xml:space="preserve">Authorization to Operate (ATO) under NIST SP 800-37, with the FedRAMP-authorized</w:t>
      </w:r>
      <w:r>
        <w:t xml:space="preserve"> </w:t>
      </w:r>
      <w:r>
        <w:t xml:space="preserve">cloud services SSA consumes documented as inherited (leveraged) authorizations.</w:t>
      </w:r>
      <w:r>
        <w:t xml:space="preserve"> </w:t>
      </w:r>
      <w:r>
        <w:t xml:space="preserve">SSA is a consuming agency, not a cloud service provider: nothing in this package</w:t>
      </w:r>
      <w:r>
        <w:t xml:space="preserve"> </w:t>
      </w:r>
      <w:r>
        <w:t xml:space="preserve">is submitted to the FedRAMP PMO. The FedRAMP 20x pipeline (Class A/B/C windows)</w:t>
      </w:r>
      <w:r>
        <w:t xml:space="preserve"> </w:t>
      </w:r>
      <w:r>
        <w:t xml:space="preserve">applies to the CSOs SSA inherits, and this book tracks those provider timelines</w:t>
      </w:r>
      <w:r>
        <w:t xml:space="preserve"> </w:t>
      </w:r>
      <w:r>
        <w:t xml:space="preserve">where they matter to inheritance.</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presented to whom</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70efa09bcd901153efae60d4c7e6cdeb46a682d"/>
    <w:p>
      <w:pPr>
        <w:pStyle w:val="Heading1"/>
      </w:pPr>
      <w:r>
        <w:t xml:space="preserve">2. 1 The Eighteen-Book Journey — All 29 ADR-111 KSI Rules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KSI rules in the ADR-111 rule set</w:t>
      </w:r>
      <w:r>
        <w:t xml:space="preserve"> </w:t>
      </w:r>
      <w:r>
        <w:t xml:space="preserve">(modeled on the FedRAMP 20x CR26 KSI schema).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through a security control assessment (SCA) — SSA may</w:t>
            </w:r>
            <w:r>
              <w:t xml:space="preserve"> </w:t>
            </w:r>
            <w:r>
              <w:t xml:space="preserve">engage a FedRAMP-recognized 3PAO as its independent assessor — and accepted by</w:t>
            </w:r>
            <w:r>
              <w:t xml:space="preserve"> </w:t>
            </w:r>
            <w:r>
              <w:t xml:space="preserve">the Agency Authorizing Official before an ATO is granted.</w:t>
            </w:r>
          </w:p>
          <w:p>
            <w:pPr>
              <w:pStyle w:val="BodyText"/>
            </w:pPr>
            <w:pPr>
              <w:spacing w:after="16"/>
            </w:pPr>
            <w:r>
              <w:rPr>
                <w:b/>
                <w:bCs/>
              </w:rPr>
              <w:t xml:space="preserve">KSI-count reconciliation (open item).</w:t>
            </w:r>
            <w:r>
              <w:t xml:space="preserve"> </w:t>
            </w:r>
            <w:r>
              <w:t xml:space="preserve">The 29 rules evaluated here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The 29-rule set must be diffed rule-ID-by-rule-ID against the</w:t>
            </w:r>
            <w:r>
              <w:t xml:space="preserve"> </w:t>
            </w:r>
            <w:r>
              <w:t xml:space="preserve">finalized CR26 Moderate list (June 25, 2026), with the mapping stated</w:t>
            </w:r>
            <w:r>
              <w:t xml:space="preserve"> </w:t>
            </w:r>
            <w:r>
              <w:t xml:space="preserve">explicitly, before</w:t>
            </w:r>
            <w:r>
              <w:t xml:space="preserve"> </w:t>
            </w:r>
            <w:r>
              <w:t xml:space="preserve">“29/29 satisfied”</w:t>
            </w:r>
            <w:r>
              <w:t xml:space="preserve"> </w:t>
            </w:r>
            <w:r>
              <w:t xml:space="preserve">is carried into any authorization</w:t>
            </w:r>
            <w:r>
              <w:t xml:space="preserve"> </w:t>
            </w:r>
            <w:r>
              <w:t xml:space="preserve">decision.</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OPM 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ADR-111 KSI rules against the</w:t>
      </w:r>
      <w:r>
        <w:t xml:space="preserve"> </w:t>
      </w:r>
      <w:r>
        <w:t xml:space="preserve">AAN slot evidence. As of July 4, 2026 (self-assessment — pending independent SCA):</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rules in scope evaluated at high confidence in the current self-assessment</w:t>
      </w:r>
      <w:r>
        <w:t xml:space="preserve"> </w:t>
      </w:r>
      <w:r>
        <w:t xml:space="preserve">run. Zero open risks identified. Zero POA&amp;M items generated. These results are</w:t>
      </w:r>
      <w:r>
        <w:t xml:space="preserve"> </w:t>
      </w:r>
      <w:r>
        <w:t xml:space="preserve">advisory pending independent security control assessment (SCA). The OSCAL</w:t>
      </w:r>
      <w:r>
        <w:t xml:space="preserve"> </w:t>
      </w:r>
      <w:r>
        <w:t xml:space="preserve">Assessment Results (AR) 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Authorization Package Structure</w:t>
      </w:r>
    </w:p>
    <w:p>
      <w:pPr>
        <w:pStyle w:val="BlockText"/>
      </w:pPr>
      <w:r>
        <w:rPr>
          <w:b/>
          <w:bCs/>
        </w:rPr>
        <w:t xml:space="preserve">Correction (2026-07 review — figure pending regeneration):</w:t>
      </w:r>
      <w:r>
        <w:t xml:space="preserve"> </w:t>
      </w:r>
      <w:r>
        <w:t xml:space="preserve">the figure’s</w:t>
      </w:r>
      <w:r>
        <w:t xml:space="preserve"> </w:t>
      </w:r>
      <w:r>
        <w:t xml:space="preserve">top tier reads</w:t>
      </w:r>
      <w:r>
        <w:t xml:space="preserve"> </w:t>
      </w:r>
      <w:r>
        <w:t xml:space="preserve">“submitted to FedRAMP PMO.”</w:t>
      </w:r>
      <w:r>
        <w:t xml:space="preserve"> </w:t>
      </w:r>
      <w:r>
        <w:t xml:space="preserve">That framing is a category error</w:t>
      </w:r>
      <w:r>
        <w:t xml:space="preserve"> </w:t>
      </w:r>
      <w:r>
        <w:t xml:space="preserve">for this system type: SSA is a consuming agency, and the package is</w:t>
      </w:r>
      <w:r>
        <w:t xml:space="preserve"> </w:t>
      </w:r>
      <w:r>
        <w:rPr>
          <w:b/>
          <w:bCs/>
        </w:rPr>
        <w:t xml:space="preserve">presented to the SSA Authorizing Official for the RMF authorization</w:t>
      </w:r>
      <w:r>
        <w:rPr>
          <w:b/>
          <w:bCs/>
        </w:rPr>
        <w:t xml:space="preserve"> </w:t>
      </w:r>
      <w:r>
        <w:rPr>
          <w:b/>
          <w:bCs/>
        </w:rPr>
        <w:t xml:space="preserve">decision</w:t>
      </w:r>
      <w:r>
        <w:t xml:space="preserve">, with inherited FedRAMP CSO authorizations documented as leveraged</w:t>
      </w:r>
      <w:r>
        <w:t xml:space="preserve"> </w:t>
      </w:r>
      <w:r>
        <w:t xml:space="preserve">controls. The package contents (SSP, SAR, POA&amp;M, OSCAL bundle) are correct as</w:t>
      </w:r>
      <w:r>
        <w:t xml:space="preserve"> </w:t>
      </w:r>
      <w:r>
        <w:t xml:space="preserve">drawn — SSP/SAR/POA&amp;M</w:t>
      </w:r>
      <w:r>
        <w:t xml:space="preserve"> </w:t>
      </w:r>
      <w:r>
        <w:rPr>
          <w:i/>
          <w:iCs/>
        </w:rPr>
        <w:t xml:space="preserve">is</w:t>
      </w:r>
      <w:r>
        <w:t xml:space="preserve"> </w:t>
      </w:r>
      <w:r>
        <w:t xml:space="preserve">the RMF package; only the submission target</w:t>
      </w:r>
      <w:r>
        <w:t xml:space="preserve"> </w:t>
      </w:r>
      <w:r>
        <w:t xml:space="preserve">changes.</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assembly.</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agency-authorization-package-ca-6"/>
    <w:p>
      <w:pPr>
        <w:pStyle w:val="Heading1"/>
      </w:pPr>
      <w:r>
        <w:t xml:space="preserve">5. 4 Agency Authorization Package (CA-6)</w:t>
      </w:r>
    </w:p>
    <w:bookmarkStart w:id="40" w:name="package-components"/>
    <w:p>
      <w:pPr>
        <w:pStyle w:val="Heading2"/>
      </w:pPr>
      <w:r>
        <w:t xml:space="preserve">5.1 4.1 Package Components</w:t>
      </w:r>
    </w:p>
    <w:p>
      <w:pPr>
        <w:pStyle w:val="FirstParagraph"/>
      </w:pPr>
      <w:r>
        <w:t xml:space="preserve">The agency RMF authorization package (ConMon evidence modeled on the FedRAMP</w:t>
      </w:r>
      <w:r>
        <w:t xml:space="preserve"> </w:t>
      </w:r>
      <w:r>
        <w:t xml:space="preserve">20x KSI schema) has a simpler evidence structure than a traditional package:</w:t>
      </w:r>
      <w:r>
        <w:t xml:space="preserve"> </w:t>
      </w:r>
      <w:r>
        <w:t xml:space="preserve">the 20x KSI-evidence model replaces the 325-control audit binder for the CSOs</w:t>
      </w:r>
      <w:r>
        <w:t xml:space="preserve"> </w:t>
      </w:r>
      <w:r>
        <w:t xml:space="preserve">SSA inherits, and this package adopts the same machine-readable model for the</w:t>
      </w:r>
      <w:r>
        <w:t xml:space="preserve"> </w:t>
      </w:r>
      <w:r>
        <w:t xml:space="preserve">agency’s own ConMon evidence. The authorization package consists of:</w:t>
      </w:r>
    </w:p>
    <w:p>
      <w:pPr>
        <w:pStyle w:val="TableCaption"/>
      </w:pPr>
      <w:r>
        <w:t xml:space="preserve">Agency Authorization Package — Component Index</w:t>
      </w:r>
    </w:p>
    <w:tbl>
      <w:tblPr>
        <w:tblStyle w:val="Table"/>
        <w:tblW w:type="pct" w:w="5000"/>
        <w:tblLayout w:type="fixed"/>
        <w:tblLook w:firstRow="1" w:lastRow="0" w:firstColumn="0" w:lastColumn="0" w:noHBand="0" w:noVBand="0" w:val="0020"/>
        <w:tblCaption w:val="Agency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authorization-timeline"/>
    <w:p>
      <w:pPr>
        <w:pStyle w:val="Heading2"/>
      </w:pPr>
      <w:r>
        <w:t xml:space="preserve">5.2 4.2 Authorization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 (CSO pipeline — inherited providers)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 (CSO pipeline — inherited providers)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 (CISA submission)</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inherited CSO authorizations</w:t>
            </w:r>
          </w:p>
        </w:tc>
        <w:tc>
          <w:tcPr/>
          <w:p>
            <w:pPr>
              <w:pStyle w:val="Compact"/>
            </w:pPr>
            <w:r>
              <w:t xml:space="preserve">Jan 1, 2027</w:t>
            </w:r>
          </w:p>
        </w:tc>
        <w:tc>
          <w:tcPr/>
          <w:p>
            <w:pPr>
              <w:pStyle w:val="Compact"/>
            </w:pPr>
            <w:r>
              <w:t xml:space="preserve">Mandatory</w:t>
            </w:r>
          </w:p>
        </w:tc>
      </w:tr>
      <w:tr>
        <w:tc>
          <w:tcPr/>
          <w:p>
            <w:pPr>
              <w:pStyle w:val="Compact"/>
            </w:pPr>
            <w:r>
              <w:t xml:space="preserve">Present authorization package to SSA AO</w:t>
            </w:r>
          </w:p>
        </w:tc>
        <w:tc>
          <w:tcPr/>
          <w:p>
            <w:pPr>
              <w:pStyle w:val="Compact"/>
            </w:pPr>
            <w:r>
              <w:t xml:space="preserve">Nov–Dec 2026</w:t>
            </w:r>
          </w:p>
        </w:tc>
        <w:tc>
          <w:tcPr/>
          <w:p>
            <w:pPr>
              <w:pStyle w:val="Compact"/>
            </w:pPr>
            <w:r>
              <w:t xml:space="preserve">Planned</w:t>
            </w:r>
          </w:p>
        </w:tc>
      </w:tr>
      <w:tr>
        <w:tc>
          <w:tcPr/>
          <w:p>
            <w:pPr>
              <w:pStyle w:val="Compact"/>
            </w:pPr>
            <w:r>
              <w:t xml:space="preserve">Agency 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the authorization decision, the Authorizing Official (AO) reviews:</w:t>
      </w:r>
    </w:p>
    <w:p>
      <w:pPr>
        <w:pStyle w:val="Compact"/>
        <w:numPr>
          <w:ilvl w:val="0"/>
          <w:numId w:val="1005"/>
        </w:numPr>
      </w:pPr>
      <w:r>
        <w:t xml:space="preserve">All 29 KSI rules self-assessed as satisfied in current AR (zero open risks); independent SCA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currency"/>
    <w:p>
      <w:pPr>
        <w:pStyle w:val="Heading2"/>
      </w:pPr>
      <w:r>
        <w:t xml:space="preserve">6.3 5.3 AT-4 Evidence Contract Currency</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the time of the AO’s ATO package review:</w:t>
      </w:r>
    </w:p>
    <w:p>
      <w:pPr>
        <w:pStyle w:val="SourceCode"/>
      </w:pPr>
      <w:r>
        <w:rPr>
          <w:rStyle w:val="CommentTok"/>
        </w:rPr>
        <w:t xml:space="preserve"># Verify training record is current (exported from Viva Learning Graph API)</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AO review window.</w:t>
      </w:r>
    </w:p>
    <w:bookmarkStart w:id="58" w:name="pre-decision-checklist"/>
    <w:p>
      <w:pPr>
        <w:pStyle w:val="Heading2"/>
      </w:pPr>
      <w:r>
        <w:t xml:space="preserve">9.1 8.1 Pre-Decision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Present bundle (AP + AR + POA&amp;M) to the SSA AO for the RMF authorization decision</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from Viva Learning</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authorization-decision-package-procedure"/>
    <w:p>
      <w:pPr>
        <w:pStyle w:val="Heading2"/>
      </w:pPr>
      <w:r>
        <w:t xml:space="preserve">9.2 8.2 Authorization-Decision Package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the SSA AO review</w:t>
      </w:r>
      <w:r>
        <w:br/>
      </w:r>
      <w:r>
        <w:rPr>
          <w:rStyle w:val="FunctionTok"/>
        </w:rPr>
        <w:t xml:space="preserve">zip</w:t>
      </w:r>
      <w:r>
        <w:rPr>
          <w:rStyle w:val="NormalTok"/>
        </w:rPr>
        <w:t xml:space="preserve"> </w:t>
      </w:r>
      <w:r>
        <w:rPr>
          <w:rStyle w:val="AttributeTok"/>
        </w:rPr>
        <w:t xml:space="preserve">-r</w:t>
      </w:r>
      <w:r>
        <w:rPr>
          <w:rStyle w:val="NormalTok"/>
        </w:rPr>
        <w:t xml:space="preserve"> ssa-gcc-moderate-authpkg-</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Agency ATO package structure documented in §4; assembly checklist in §8; AO review roles in §6.4; leveraged FedRAMP authorizations documented as inherited controls in the SSP</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Independent security control assessment (SCA) of the OSCAL AR — SSA may engage a FedRAMP-recognized 3PAO as its assessor —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independent SCA.</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2026-07-08T09:11:55Z</dcterms:created>
  <dcterms:modified xsi:type="dcterms:W3CDTF">2026-07-08T09:11:55Z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Agency Authorization Package (20x KSI Evidence Schema), Continuous Monitoring, and BOD 26-04 Submission</vt:lpwstr>
  </property>
  <property fmtid="{D5CDD505-2E9C-101B-9397-08002B2CF9AE}" pid="13" name="toc-title">
    <vt:lpwstr>Table of contents</vt:lpwstr>
  </property>
</Properties>
</file>