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TIC 3.0 Roadmap</w:t>
      </w:r>
    </w:p>
    <w:p>
      <w:pPr>
        <w:spacing w:before="120" w:after="120" w:line="276" w:lineRule="auto"/>
      </w:pPr>
      <w:r>
        <w:rPr>
          <w:rFonts w:ascii="Calibri" w:hAnsi="Calibri"/>
          <w:b/>
          <w:i w:val="0"/>
          <w:sz w:val="22"/>
        </w:rPr>
        <w:t>Version 1.0</w:t>
      </w:r>
    </w:p>
    <w:p>
      <w:pPr>
        <w:pStyle w:val="Heading1"/>
      </w:pPr>
      <w:r>
        <w:rPr>
          <w:color w:val="1B3A5C"/>
        </w:rPr>
        <w:t>Control Planes Supporting TIC 3.0</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Risks (TIC 3.0 Impact)</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pStyle w:val="Heading2"/>
      </w:pPr>
      <w:r>
        <w:rPr>
          <w:color w:val="1B3A5C"/>
        </w:rPr>
        <w:t>The Perimeter Collapse: TIC 2.2 to UIAO (Visual V4)</w:t>
      </w:r>
    </w:p>
    <w:p>
      <w:pPr>
        <w:spacing w:before="120" w:after="120" w:line="276" w:lineRule="auto"/>
      </w:pPr>
      <w:r>
        <w:rPr>
          <w:rFonts w:ascii="Calibri" w:hAnsi="Calibri"/>
          <w:sz w:val="22"/>
        </w:rPr>
        <w:t xml:space="preserve">The "Modernization Atlas" visualizes the fundamental shift from rigid, hardware-bound perimeters to a flexible, software-defined trust fabric. The following table details the </w:t>
      </w:r>
      <w:r>
        <w:rPr>
          <w:rFonts w:ascii="Calibri" w:hAnsi="Calibri"/>
          <w:b/>
          <w:i w:val="0"/>
          <w:sz w:val="22"/>
        </w:rPr>
        <w:t>Perimeter Collapse</w:t>
      </w:r>
      <w:r>
        <w:rPr>
          <w:rFonts w:ascii="Calibri" w:hAnsi="Calibri"/>
          <w:sz w:val="22"/>
        </w:rPr>
        <w:t>—the decommissioning of legacy silos in favor of the UIAO model.</w:t>
      </w:r>
    </w:p>
    <w:tbl>
      <w:tblPr>
        <w:tblStyle w:val="LightList-Accent1"/>
        <w:tblW w:type="auto" w:w="0"/>
        <w:tblLayout w:type="autofit"/>
        <w:tblLook w:firstColumn="1" w:firstRow="1" w:lastColumn="0" w:lastRow="0" w:noHBand="0" w:noVBand="1" w:val="04A0"/>
      </w:tblPr>
      <w:tblGrid>
        <w:gridCol w:w="2340"/>
        <w:gridCol w:w="2340"/>
        <w:gridCol w:w="2340"/>
        <w:gridCol w:w="2340"/>
      </w:tblGrid>
      <w:tr>
        <w:tc>
          <w:tcPr>
            <w:tcW w:type="dxa" w:w="2340"/>
          </w:tcPr>
          <w:p>
            <w:r>
              <w:rPr>
                <w:b/>
                <w:sz w:val="18"/>
              </w:rPr>
              <w:t>Modernization Pillar</w:t>
            </w:r>
          </w:p>
        </w:tc>
        <w:tc>
          <w:tcPr>
            <w:tcW w:type="dxa" w:w="2340"/>
          </w:tcPr>
          <w:p>
            <w:r>
              <w:rPr>
                <w:b/>
                <w:sz w:val="18"/>
              </w:rPr>
              <w:t>Legacy State (TIC 2.2)</w:t>
            </w:r>
          </w:p>
        </w:tc>
        <w:tc>
          <w:tcPr>
            <w:tcW w:type="dxa" w:w="2340"/>
          </w:tcPr>
          <w:p>
            <w:r>
              <w:rPr>
                <w:b/>
                <w:sz w:val="18"/>
              </w:rPr>
              <w:t>UIAO Future State (TIC 3.0)</w:t>
            </w:r>
          </w:p>
        </w:tc>
        <w:tc>
          <w:tcPr>
            <w:tcW w:type="dxa" w:w="2340"/>
          </w:tcPr>
          <w:p>
            <w:r>
              <w:rPr>
                <w:b/>
                <w:sz w:val="18"/>
              </w:rPr>
              <w:t>Strategic Mission Impact</w:t>
            </w:r>
          </w:p>
        </w:tc>
      </w:tr>
    </w:tbl>
    <w:p>
      <w:pPr>
        <w:spacing w:before="120" w:after="120" w:line="276" w:lineRule="auto"/>
      </w:pPr>
      <w:r>
        <w:rPr>
          <w:rFonts w:ascii="Calibri" w:hAnsi="Calibri"/>
          <w:sz w:val="22"/>
        </w:rPr>
        <w:t xml:space="preserve">&gt; </w:t>
      </w:r>
      <w:r>
        <w:rPr>
          <w:rFonts w:ascii="Calibri" w:hAnsi="Calibri"/>
          <w:b/>
          <w:i w:val="0"/>
          <w:sz w:val="22"/>
        </w:rPr>
        <w:t>Foreman's Directive:</w:t>
      </w:r>
      <w:r>
        <w:rPr>
          <w:rFonts w:ascii="Calibri" w:hAnsi="Calibri"/>
          <w:sz w:val="22"/>
        </w:rPr>
        <w:t xml:space="preserve"> This transition is verified by the </w:t>
      </w:r>
      <w:r>
        <w:rPr>
          <w:rFonts w:ascii="Calibri" w:hAnsi="Calibri"/>
          <w:b/>
          <w:i w:val="0"/>
          <w:sz w:val="22"/>
        </w:rPr>
        <w:t>V4 Modernization Atlas</w:t>
      </w:r>
      <w:r>
        <w:rPr>
          <w:rFonts w:ascii="Calibri" w:hAnsi="Calibri"/>
          <w:sz w:val="22"/>
        </w:rPr>
        <w:t xml:space="preserve"> graphic. By collapsing these silos, </w:t>
      </w:r>
      <w:r>
        <w:rPr>
          <w:rFonts w:ascii="Calibri" w:hAnsi="Calibri"/>
          <w:b/>
          <w:i w:val="0"/>
          <w:sz w:val="22"/>
        </w:rPr>
        <w:t>the agency</w:t>
      </w:r>
      <w:r>
        <w:rPr>
          <w:rFonts w:ascii="Calibri" w:hAnsi="Calibri"/>
          <w:sz w:val="22"/>
        </w:rPr>
        <w:t xml:space="preserve"> achieves the 'Advanced' level in the Network/Environment pillar of the CISA Zero Trust Maturity Model.</w:t>
      </w:r>
    </w:p>
    <w:p>
      <w:pPr>
        <w:spacing w:after="80"/>
      </w:pPr>
    </w:p>
    <w:p>
      <w:pPr>
        <w:spacing w:before="120" w:after="120" w:line="276" w:lineRule="auto"/>
      </w:pPr>
      <w:r>
        <w:rPr>
          <w:rFonts w:ascii="Calibri" w:hAnsi="Calibri"/>
          <w:b w:val="0"/>
          <w:i/>
          <w:sz w:val="22"/>
        </w:rPr>
        <w:t>End of TIC 3.0 Roadmap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