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9.png" ContentType="image/png"/>
  <Override PartName="/word/media/rId13.png" ContentType="image/png"/>
  <Override PartName="/word/media/rId73.png" ContentType="image/png"/>
  <Override PartName="/word/media/rId87.png" ContentType="image/png"/>
  <Override PartName="/word/media/rId19.png" ContentType="image/png"/>
  <Override PartName="/word/media/rId28.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14:45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 layer required for FedRAMP 20x continuous monitoring authorization.</w:t>
      </w:r>
      <w:r>
        <w:t xml:space="preserve"> </w:t>
      </w:r>
      <w:r>
        <w:t xml:space="preserve">Each book maps its implementations directly to the NIST SP 800-53 Rev 5 controls it closes, and Book 19 assembles those mappings into a machine-readable OSCAL authorization package ready for 3PAO validation.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31"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Mechanism, Not Product — Read the Necessity Claims Correctly</w:t>
            </w:r>
          </w:p>
        </w:tc>
      </w:tr>
      <w:tr>
        <w:trPr>
          <w:cantSplit/>
        </w:trPr>
        <w:tc>
          <w:tcPr>
            <w:tcMar>
              <w:top w:w="108" w:type="dxa"/>
              <w:bottom w:w="108" w:type="dxa"/>
            </w:tcMar>
          </w:tcPr>
          <w:p>
            <w:pPr>
              <w:pStyle w:val="BodyText"/>
            </w:pPr>
            <w:pPr>
              <w:spacing w:before="16"/>
            </w:pPr>
            <w:r>
              <w:t xml:space="preserve">“No alternate closure path”</w:t>
            </w:r>
            <w:r>
              <w:t xml:space="preserve"> </w:t>
            </w:r>
            <w:r>
              <w:t xml:space="preserve">is a claim about</w:t>
            </w:r>
            <w:r>
              <w:t xml:space="preserve"> </w:t>
            </w:r>
            <w:r>
              <w:rPr>
                <w:b/>
                <w:bCs/>
              </w:rPr>
              <w:t xml:space="preserve">mechanism classes</w:t>
            </w:r>
            <w:r>
              <w:t xml:space="preserve">, never</w:t>
            </w:r>
            <w:r>
              <w:t xml:space="preserve"> </w:t>
            </w:r>
            <w:r>
              <w:t xml:space="preserve">about vendors.</w:t>
            </w:r>
            <w:r>
              <w:t xml:space="preserve"> </w:t>
            </w:r>
            <w:r>
              <w:t xml:space="preserve">“Only port-based authentication closes IA-3”</w:t>
            </w:r>
            <w:r>
              <w:t xml:space="preserve"> </w:t>
            </w:r>
            <w:r>
              <w:t xml:space="preserve">names a protocol</w:t>
            </w:r>
            <w:r>
              <w:t xml:space="preserve"> </w:t>
            </w:r>
            <w:r>
              <w:t xml:space="preserve">behavior; it does not name a product. Every product named in this series</w:t>
            </w:r>
            <w:r>
              <w:t xml:space="preserve"> </w:t>
            </w:r>
            <w:r>
              <w:t xml:space="preserve">(InfoBlox, NPS, Cisco Catalyst SD-WAN, Entra ID, Oracle HCM Cloud, Sentinel)</w:t>
            </w:r>
            <w:r>
              <w:t xml:space="preserve"> </w:t>
            </w:r>
            <w:r>
              <w:t xml:space="preserve">is a</w:t>
            </w:r>
            <w:r>
              <w:t xml:space="preserve"> </w:t>
            </w:r>
            <w:r>
              <w:rPr>
                <w:b/>
                <w:bCs/>
              </w:rPr>
              <w:t xml:space="preserve">deployed example of its mechanism</w:t>
            </w:r>
            <w:r>
              <w:t xml:space="preserve">, and for every layer there are</w:t>
            </w:r>
            <w:r>
              <w:t xml:space="preserve"> </w:t>
            </w:r>
            <w:r>
              <w:t xml:space="preserve">FedRAMP-authorized alternatives that satisfy the same mechanism — the</w:t>
            </w:r>
            <w:r>
              <w:t xml:space="preserve"> </w:t>
            </w:r>
            <w:r>
              <w:t xml:space="preserve">alternatives matrix in the companion</w:t>
            </w:r>
            <w:r>
              <w:t xml:space="preserve"> </w:t>
            </w:r>
            <w:r>
              <w:rPr>
                <w:i/>
                <w:iCs/>
              </w:rPr>
              <w:t xml:space="preserve">Federal AAN / ConMon Compliance Gap</w:t>
            </w:r>
            <w:r>
              <w:rPr>
                <w:i/>
                <w:iCs/>
              </w:rPr>
              <w:t xml:space="preserve"> </w:t>
            </w:r>
            <w:r>
              <w:rPr>
                <w:i/>
                <w:iCs/>
              </w:rPr>
              <w:t xml:space="preserve">Roadmap</w:t>
            </w:r>
            <w:r>
              <w:t xml:space="preserve"> </w:t>
            </w:r>
            <w:r>
              <w:t xml:space="preserve">enumerates them per layer.</w:t>
            </w:r>
          </w:p>
          <w:p>
            <w:pPr>
              <w:pStyle w:val="BodyText"/>
            </w:pPr>
            <w:pPr>
              <w:spacing w:after="16"/>
            </w:pPr>
            <w:r>
              <w:t xml:space="preserve">The program doctrine that follows:</w:t>
            </w:r>
            <w:r>
              <w:t xml:space="preserve"> </w:t>
            </w:r>
            <w:r>
              <w:rPr>
                <w:b/>
                <w:bCs/>
              </w:rPr>
              <w:t xml:space="preserve">multiple compliant paths exist before</w:t>
            </w:r>
            <w:r>
              <w:rPr>
                <w:b/>
                <w:bCs/>
              </w:rPr>
              <w:t xml:space="preserve"> </w:t>
            </w:r>
            <w:r>
              <w:rPr>
                <w:b/>
                <w:bCs/>
              </w:rPr>
              <w:t xml:space="preserve">the agency chooses; exactly one exists after.</w:t>
            </w:r>
            <w:r>
              <w:t xml:space="preserve"> </w:t>
            </w:r>
            <w:r>
              <w:t xml:space="preserve">The agency must select one</w:t>
            </w:r>
            <w:r>
              <w:t xml:space="preserve"> </w:t>
            </w:r>
            <w:r>
              <w:t xml:space="preserve">implementation path per layer, and per governance the selected path becomes</w:t>
            </w:r>
            <w:r>
              <w:t xml:space="preserve"> </w:t>
            </w:r>
            <w:r>
              <w:t xml:space="preserve">mandatory once chosen — because split implementations of a truth plane</w:t>
            </w:r>
            <w:r>
              <w:t xml:space="preserve"> </w:t>
            </w:r>
            <w:r>
              <w:t xml:space="preserve">recreate the fragmented-truth problem this series exists to end.</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Program Files\Quarto\share\formats\docx\important.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9" name="Picture"/>
                  <a:graphic>
                    <a:graphicData uri="http://schemas.openxmlformats.org/drawingml/2006/picture">
                      <pic:pic>
                        <pic:nvPicPr>
                          <pic:cNvPr descr="figs/es-fig-06-dia-three-step.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31"/>
    <w:bookmarkStart w:id="32"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2"/>
    <w:bookmarkStart w:id="47"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3"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3"/>
    <w:bookmarkStart w:id="37"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5" name="Picture"/>
            <a:graphic>
              <a:graphicData uri="http://schemas.openxmlformats.org/drawingml/2006/picture">
                <pic:pic>
                  <pic:nvPicPr>
                    <pic:cNvPr descr="figs/es-fig-07-architecture-before-assessment.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7"/>
    <w:bookmarkStart w:id="41"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41"/>
    <w:bookmarkStart w:id="42"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2"/>
    <w:bookmarkStart w:id="46"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4" name="Picture"/>
            <a:graphic>
              <a:graphicData uri="http://schemas.openxmlformats.org/drawingml/2006/picture">
                <pic:pic>
                  <pic:nvPicPr>
                    <pic:cNvPr descr="figs/es-fig-08-coverage-arithmetic.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6"/>
    <w:bookmarkEnd w:id="47"/>
    <w:bookmarkStart w:id="48"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8"/>
    <w:bookmarkStart w:id="51"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Program Files\Quarto\share\formats\docx\note.png" id="5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51"/>
    <w:bookmarkStart w:id="54" w:name="X6f9a64b586cbcc7969c4f245976846e0504a959"/>
    <w:p>
      <w:pPr>
        <w:pStyle w:val="Heading1"/>
      </w:pPr>
      <w:r>
        <w:t xml:space="preserve">7. Part 1 — Landing Zone DDI: InfoBlox DDI Closes 16 NIST Controls</w:t>
      </w:r>
    </w:p>
    <w:bookmarkStart w:id="52"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2"/>
    <w:bookmarkStart w:id="53"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53"/>
    <w:bookmarkEnd w:id="54"/>
    <w:bookmarkStart w:id="56" w:name="Xbcc0181b0bedc83b159769420775f7f4bd5b5ee"/>
    <w:p>
      <w:pPr>
        <w:pStyle w:val="Heading1"/>
      </w:pPr>
      <w:r>
        <w:t xml:space="preserve">8. Part 2 — Network Access Control: 802.1X Closes the Device Identity Gap</w:t>
      </w:r>
    </w:p>
    <w:bookmarkStart w:id="55"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5"/>
    <w:bookmarkEnd w:id="56"/>
    <w:bookmarkStart w:id="58" w:name="X405ac1b7341efa237459fac366bded0a1afb81b"/>
    <w:p>
      <w:pPr>
        <w:pStyle w:val="Heading1"/>
      </w:pPr>
      <w:r>
        <w:t xml:space="preserve">9. Part 3 — Certificates &amp; Tokens: Cryptographic Identity</w:t>
      </w:r>
    </w:p>
    <w:bookmarkStart w:id="57"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7"/>
    <w:bookmarkEnd w:id="58"/>
    <w:bookmarkStart w:id="60" w:name="Xc99982daf1675290c6dee7e65da8f2f47fccda2"/>
    <w:p>
      <w:pPr>
        <w:pStyle w:val="Heading1"/>
      </w:pPr>
      <w:r>
        <w:t xml:space="preserve">10. Part 4 — OPM HRIT and the Identity &amp; Organizational SSOT</w:t>
      </w:r>
    </w:p>
    <w:bookmarkStart w:id="59"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9"/>
    <w:bookmarkEnd w:id="60"/>
    <w:bookmarkStart w:id="63" w:name="X10b5b70168cf61c697e46bca4109e68839cb391"/>
    <w:p>
      <w:pPr>
        <w:pStyle w:val="Heading1"/>
      </w:pPr>
      <w:r>
        <w:t xml:space="preserve">11. Part 5 — Network and Identity Modernization: Entra ID + ZTNA + Active Governance Closes 12 NIST Controls</w:t>
      </w:r>
    </w:p>
    <w:bookmarkStart w:id="61"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61"/>
    <w:bookmarkStart w:id="62"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2"/>
    <w:bookmarkEnd w:id="63"/>
    <w:bookmarkStart w:id="66" w:name="X2d88030fe1371762303048ee6244da6478ed0f7"/>
    <w:p>
      <w:pPr>
        <w:pStyle w:val="Heading1"/>
      </w:pPr>
      <w:r>
        <w:t xml:space="preserve">12. Part 6 — Telecommunications Modernization: SD-WAN + SASE Closes 7 NIST Controls</w:t>
      </w:r>
    </w:p>
    <w:bookmarkStart w:id="64"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4"/>
    <w:bookmarkStart w:id="65"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5"/>
    <w:bookmarkEnd w:id="66"/>
    <w:bookmarkStart w:id="70" w:name="Xd4e84a07e291e418566bcb97aa439fd3597f127"/>
    <w:p>
      <w:pPr>
        <w:pStyle w:val="Heading1"/>
      </w:pPr>
      <w:r>
        <w:t xml:space="preserve">13. Parts 7–9 — SQL Server and Database Architecture</w:t>
      </w:r>
    </w:p>
    <w:bookmarkStart w:id="67"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7"/>
    <w:bookmarkStart w:id="68"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8"/>
    <w:bookmarkStart w:id="69"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9"/>
    <w:bookmarkEnd w:id="70"/>
    <w:bookmarkStart w:id="72"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71"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71"/>
    <w:bookmarkEnd w:id="72"/>
    <w:bookmarkStart w:id="79"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4" name="Picture"/>
            <a:graphic>
              <a:graphicData uri="http://schemas.openxmlformats.org/drawingml/2006/picture">
                <pic:pic>
                  <pic:nvPicPr>
                    <pic:cNvPr descr="figs/es-fig-02-control-closure-chart.png" id="75" name="Picture"/>
                    <pic:cNvPicPr>
                      <a:picLocks noChangeArrowheads="1" noChangeAspect="1"/>
                    </pic:cNvPicPr>
                  </pic:nvPicPr>
                  <pic:blipFill>
                    <a:blip r:embed="rId73"/>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6"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6"/>
    <w:bookmarkStart w:id="77"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7"/>
    <w:bookmarkStart w:id="78"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8"/>
    <w:bookmarkEnd w:id="79"/>
    <w:bookmarkStart w:id="85"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80"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80"/>
    <w:bookmarkStart w:id="81"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81"/>
    <w:bookmarkStart w:id="82"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2"/>
    <w:bookmarkStart w:id="83"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3"/>
    <w:bookmarkStart w:id="84"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4"/>
    <w:bookmarkEnd w:id="85"/>
    <w:bookmarkStart w:id="86"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6"/>
    <w:bookmarkStart w:id="92"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8" name="Picture"/>
            <a:graphic>
              <a:graphicData uri="http://schemas.openxmlformats.org/drawingml/2006/picture">
                <pic:pic>
                  <pic:nvPicPr>
                    <pic:cNvPr descr="figs/es-fig-04-sequencing-roadmap.png" id="89" name="Picture"/>
                    <pic:cNvPicPr>
                      <a:picLocks noChangeArrowheads="1" noChangeAspect="1"/>
                    </pic:cNvPicPr>
                  </pic:nvPicPr>
                  <pic:blipFill>
                    <a:blip r:embed="rId87"/>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90"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90"/>
    <w:bookmarkStart w:id="91"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91"/>
    <w:bookmarkEnd w:id="92"/>
    <w:bookmarkStart w:id="112"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3">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4">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5">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6">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7">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8">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9">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100">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101">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2">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3">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4">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5">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6">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7">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8">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9">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10">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11">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3" Target="Book_01_FedAAN_SSA_Landing_Zone_IPAM_FedRAMP.qmd" TargetMode="External" /><Relationship Type="http://schemas.openxmlformats.org/officeDocument/2006/relationships/hyperlink" Id="rId94" Target="Book_02_FedAAN_Network_Access_Control_802_1X.qmd" TargetMode="External" /><Relationship Type="http://schemas.openxmlformats.org/officeDocument/2006/relationships/hyperlink" Id="rId95" Target="Book_03_FedAAN_Certificates_Tokens_Cryptographic_Identity.qmd" TargetMode="External" /><Relationship Type="http://schemas.openxmlformats.org/officeDocument/2006/relationships/hyperlink" Id="rId96" Target="Book_04_FedAAN_OPM%20HRIT_Identity_Org_SSOT.qmd" TargetMode="External" /><Relationship Type="http://schemas.openxmlformats.org/officeDocument/2006/relationships/hyperlink" Id="rId97" Target="Book_05_FedAAN_Network_Modernization.qmd" TargetMode="External" /><Relationship Type="http://schemas.openxmlformats.org/officeDocument/2006/relationships/hyperlink" Id="rId98" Target="Book_06_FedAAN_Federal_Telecommunications_Modernization.qmd" TargetMode="External" /><Relationship Type="http://schemas.openxmlformats.org/officeDocument/2006/relationships/hyperlink" Id="rId99" Target="Book_07_FedAAN_SQL_Server_Authentication_Modernization.qmd" TargetMode="External" /><Relationship Type="http://schemas.openxmlformats.org/officeDocument/2006/relationships/hyperlink" Id="rId100" Target="Book_08_FedAAN_SQL_Server_Implementation_Guide.qmd" TargetMode="External" /><Relationship Type="http://schemas.openxmlformats.org/officeDocument/2006/relationships/hyperlink" Id="rId101" Target="Book_09_FedAAN_Database_Consolidation_Network_Physics.qmd" TargetMode="External" /><Relationship Type="http://schemas.openxmlformats.org/officeDocument/2006/relationships/hyperlink" Id="rId102" Target="Book_10_FedAAN_Privileged_Access_Management.qmd" TargetMode="External" /><Relationship Type="http://schemas.openxmlformats.org/officeDocument/2006/relationships/hyperlink" Id="rId103" Target="Book_11_FedAAN_Vulnerability_Management.qmd" TargetMode="External" /><Relationship Type="http://schemas.openxmlformats.org/officeDocument/2006/relationships/hyperlink" Id="rId104" Target="Book_12_FedAAN_Data_Protection_Purview.qmd" TargetMode="External" /><Relationship Type="http://schemas.openxmlformats.org/officeDocument/2006/relationships/hyperlink" Id="rId105" Target="Book_13_FedAAN_SIEM_XDR_Detection.qmd" TargetMode="External" /><Relationship Type="http://schemas.openxmlformats.org/officeDocument/2006/relationships/hyperlink" Id="rId106" Target="Book_14_FedAAN_Business_Continuity.qmd" TargetMode="External" /><Relationship Type="http://schemas.openxmlformats.org/officeDocument/2006/relationships/hyperlink" Id="rId107" Target="Book_15_FedAAN_Supply_Chain_Risk_Management.qmd" TargetMode="External" /><Relationship Type="http://schemas.openxmlformats.org/officeDocument/2006/relationships/hyperlink" Id="rId108" Target="Book_16_FedAAN_Program_Management_Governance.qmd" TargetMode="External" /><Relationship Type="http://schemas.openxmlformats.org/officeDocument/2006/relationships/hyperlink" Id="rId109" Target="Book_17_FedAAN_PII_Processing_Transparency.qmd" TargetMode="External" /><Relationship Type="http://schemas.openxmlformats.org/officeDocument/2006/relationships/hyperlink" Id="rId110" Target="Book_18_FedAAN_Cybersecurity_Training_Awareness.qmd" TargetMode="External" /><Relationship Type="http://schemas.openxmlformats.org/officeDocument/2006/relationships/hyperlink" Id="rId111"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2026-07-07T19:19:02Z</dcterms:created>
  <dcterms:modified xsi:type="dcterms:W3CDTF">2026-07-07T19:19:02Z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