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7, 2026 — Internal UIAO Working Document</w:t>
      </w:r>
    </w:p>
    <w:p>
      <w:pPr>
        <w:pStyle w:val="BodyText"/>
      </w:pPr>
      <w:r>
        <w:rPr>
          <w:b/>
          <w:bCs/>
        </w:rPr>
        <w:t xml:space="preserve">Date Code:</w:t>
      </w:r>
      <w:r>
        <w:t xml:space="preserve"> </w:t>
      </w:r>
      <w:r>
        <w:t xml:space="preserve">2026-07-07 15:18 ET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4" w:name="Xa24d59ace16dcaeb78ad935606038d54785a5ad"/>
    <w:p>
      <w:pPr>
        <w:pStyle w:val="Heading2"/>
      </w:pPr>
      <w:r>
        <w:t xml:space="preserve">Federal Compliance Timeline — All Mandates Touching NIST Control Families</w:t>
      </w:r>
    </w:p>
    <w:p>
      <w:pPr>
        <w:pStyle w:val="FirstParagraph"/>
      </w:pPr>
      <w:r>
        <w:rPr>
          <w:i/>
          <w:iCs/>
        </w:rPr>
        <w:t xml:space="preserve">Researched and verified 2026-07-07 against fedramp.gov, cisa.gov, csrc.nist.gov,</w:t>
      </w:r>
      <w:r>
        <w:rPr>
          <w:i/>
          <w:iCs/>
        </w:rPr>
        <w:t xml:space="preserve"> </w:t>
      </w:r>
      <w:r>
        <w:rPr>
          <w:i/>
          <w:iCs/>
        </w:rPr>
        <w:t xml:space="preserve">whitehouse.gov, and NSA CNSA 2.0 guidance. This section is the series’ single</w:t>
      </w:r>
      <w:r>
        <w:rPr>
          <w:i/>
          <w:iCs/>
        </w:rPr>
        <w:t xml:space="preserve"> </w:t>
      </w:r>
      <w:r>
        <w:rPr>
          <w:i/>
          <w:iCs/>
        </w:rPr>
        <w:t xml:space="preserve">source of truth for federal dates; the Books cite subsets of it.</w:t>
      </w:r>
    </w:p>
    <w:bookmarkStart w:id="10" w:name="already-in-force-the-elapsed-baseline"/>
    <w:p>
      <w:pPr>
        <w:pStyle w:val="Heading3"/>
      </w:pPr>
      <w:r>
        <w:t xml:space="preserve">Already in force — the elapsed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1063"/>
        <w:gridCol w:w="2127"/>
        <w:gridCol w:w="1773"/>
        <w:gridCol w:w="16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NIST families</w:t>
            </w:r>
          </w:p>
        </w:tc>
        <w:tc>
          <w:tcPr/>
          <w:p>
            <w:pPr>
              <w:pStyle w:val="Compact"/>
            </w:pPr>
            <w:r>
              <w:t xml:space="preserve">AAN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16, 2020 / Jan 6,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Kari’s Law / RAY BAUM’S Act §506</w:t>
            </w:r>
          </w:p>
        </w:tc>
        <w:tc>
          <w:tcPr/>
          <w:p>
            <w:pPr>
              <w:pStyle w:val="Compact"/>
            </w:pPr>
            <w:r>
              <w:t xml:space="preserve">Direct 911 dialing; dispatchable location for MLTS incl. non-fixed devices</w:t>
            </w:r>
          </w:p>
        </w:tc>
        <w:tc>
          <w:tcPr/>
          <w:p>
            <w:pPr>
              <w:pStyle w:val="Compact"/>
            </w:pPr>
            <w:r>
              <w:t xml:space="preserve">(telecom; PE/SC-adjacent)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23,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 5</w:t>
            </w:r>
            <w:r>
              <w:t xml:space="preserve"> </w:t>
            </w:r>
            <w:r>
              <w:t xml:space="preserve">(Rev 4 withdrawn)</w:t>
            </w:r>
          </w:p>
        </w:tc>
        <w:tc>
          <w:tcPr/>
          <w:p>
            <w:pPr>
              <w:pStyle w:val="Compact"/>
            </w:pPr>
            <w:r>
              <w:t xml:space="preserve">Current control catalog; FedRAMP Moderate baseline drawn from 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12,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Zero Trust direction, SBOM, logging, incident sharing</w:t>
            </w:r>
          </w:p>
        </w:tc>
        <w:tc>
          <w:tcPr/>
          <w:p>
            <w:pPr>
              <w:pStyle w:val="Compact"/>
            </w:pPr>
            <w:r>
              <w:t xml:space="preserve">Umbrella</w:t>
            </w:r>
          </w:p>
        </w:tc>
        <w:tc>
          <w:tcPr/>
          <w:p>
            <w:pPr>
              <w:pStyle w:val="Compact"/>
            </w:pPr>
            <w:r>
              <w:t xml:space="preserve">Series-wide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2022 → Aug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M-21-31</w:t>
            </w:r>
            <w:r>
              <w:t xml:space="preserve"> </w:t>
            </w:r>
            <w:r>
              <w:t xml:space="preserve">(event logging)</w:t>
            </w:r>
          </w:p>
        </w:tc>
        <w:tc>
          <w:tcPr/>
          <w:p>
            <w:pPr>
              <w:pStyle w:val="Compact"/>
            </w:pPr>
            <w:r>
              <w:t xml:space="preserve">EL1 by Aug 2022, EL2 by Feb 2023, EL3 (full) by Aug 2023</w:t>
            </w:r>
          </w:p>
        </w:tc>
        <w:tc>
          <w:tcPr/>
          <w:p>
            <w:pPr>
              <w:pStyle w:val="Compact"/>
            </w:pPr>
            <w:r>
              <w:t xml:space="preserve">AU-2, AU-6, AU-11, AU-12</w:t>
            </w:r>
          </w:p>
        </w:tc>
        <w:tc>
          <w:tcPr/>
          <w:p>
            <w:pPr>
              <w:pStyle w:val="Compact"/>
            </w:pPr>
            <w:r>
              <w:t xml:space="preserve">Parts 13,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FY2023 → FY2025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M-21-07</w:t>
            </w:r>
            <w:r>
              <w:t xml:space="preserve"> </w:t>
            </w:r>
            <w:r>
              <w:t xml:space="preserve">(IPv6)</w:t>
            </w:r>
          </w:p>
        </w:tc>
        <w:tc>
          <w:tcPr/>
          <w:p>
            <w:pPr>
              <w:pStyle w:val="Compact"/>
            </w:pPr>
            <w:r>
              <w:t xml:space="preserve">20% IPv6-only FY2023 → 50% FY2024 → 80% FY2025</w:t>
            </w:r>
          </w:p>
        </w:tc>
        <w:tc>
          <w:tcPr/>
          <w:p>
            <w:pPr>
              <w:pStyle w:val="Compact"/>
            </w:pPr>
            <w:r>
              <w:t xml:space="preserve">CM-8, SC family</w:t>
            </w:r>
          </w:p>
        </w:tc>
        <w:tc>
          <w:tcPr/>
          <w:p>
            <w:pPr>
              <w:pStyle w:val="Compact"/>
            </w:pPr>
            <w:r>
              <w:t xml:space="preserve">Part 1 (IPAM)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2018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18-01</w:t>
            </w:r>
          </w:p>
        </w:tc>
        <w:tc>
          <w:tcPr/>
          <w:p>
            <w:pPr>
              <w:pStyle w:val="Compact"/>
            </w:pPr>
            <w:r>
              <w:t xml:space="preserve">DMARC p=reject; HTTPS everywhere</w:t>
            </w:r>
          </w:p>
        </w:tc>
        <w:tc>
          <w:tcPr/>
          <w:p>
            <w:pPr>
              <w:pStyle w:val="Compact"/>
            </w:pPr>
            <w:r>
              <w:t xml:space="preserve">SC-8; email auth (DNS)</w:t>
            </w:r>
          </w:p>
        </w:tc>
        <w:tc>
          <w:tcPr/>
          <w:p>
            <w:pPr>
              <w:pStyle w:val="Compact"/>
            </w:pPr>
            <w:r>
              <w:t xml:space="preserve">Part 1 (DNS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3, 2021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22-01</w:t>
            </w:r>
            <w:r>
              <w:t xml:space="preserve"> </w:t>
            </w:r>
            <w:r>
              <w:t xml:space="preserve">(KEV)</w:t>
            </w:r>
          </w:p>
        </w:tc>
        <w:tc>
          <w:tcPr/>
          <w:p>
            <w:pPr>
              <w:pStyle w:val="Compact"/>
            </w:pPr>
            <w:r>
              <w:t xml:space="preserve">Remediate Known Exploited Vulnerabilities on CISA timelines</w:t>
            </w:r>
          </w:p>
        </w:tc>
        <w:tc>
          <w:tcPr/>
          <w:p>
            <w:pPr>
              <w:pStyle w:val="Compact"/>
            </w:pPr>
            <w:r>
              <w:t xml:space="preserve">RA-5, SI-2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23-01</w:t>
            </w:r>
          </w:p>
        </w:tc>
        <w:tc>
          <w:tcPr/>
          <w:p>
            <w:pPr>
              <w:pStyle w:val="Compact"/>
            </w:pPr>
            <w:r>
              <w:t xml:space="preserve">Asset visibility + vulnerability enumeration reporting</w:t>
            </w:r>
          </w:p>
        </w:tc>
        <w:tc>
          <w:tcPr/>
          <w:p>
            <w:pPr>
              <w:pStyle w:val="Compact"/>
            </w:pPr>
            <w:r>
              <w:t xml:space="preserve">CM-8, RA-5</w:t>
            </w:r>
          </w:p>
        </w:tc>
        <w:tc>
          <w:tcPr/>
          <w:p>
            <w:pPr>
              <w:pStyle w:val="Compact"/>
            </w:pPr>
            <w:r>
              <w:t xml:space="preserve">Parts 1, 2,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13,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23-02</w:t>
            </w:r>
          </w:p>
        </w:tc>
        <w:tc>
          <w:tcPr/>
          <w:p>
            <w:pPr>
              <w:pStyle w:val="Compact"/>
            </w:pPr>
            <w:r>
              <w:t xml:space="preserve">Networked management interfaces removed from the public internet or protected by ZTA capability — within 14 days of identification, ongoing</w:t>
            </w:r>
          </w:p>
        </w:tc>
        <w:tc>
          <w:tcPr/>
          <w:p>
            <w:pPr>
              <w:pStyle w:val="Compact"/>
            </w:pPr>
            <w:r>
              <w:t xml:space="preserve">AC-17, CM-7, SC-7</w:t>
            </w:r>
          </w:p>
        </w:tc>
        <w:tc>
          <w:tcPr/>
          <w:p>
            <w:pPr>
              <w:pStyle w:val="Compact"/>
            </w:pPr>
            <w:r>
              <w:t xml:space="preserve">Parts 5, 10 (PAW/ZTNA)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(FY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FISMA CIO Metrics</w:t>
            </w:r>
          </w:p>
        </w:tc>
        <w:tc>
          <w:tcPr/>
          <w:p>
            <w:pPr>
              <w:pStyle w:val="Compact"/>
            </w:pPr>
            <w:r>
              <w:t xml:space="preserve">Quarterly + annual CyberScope reporting against the CIO metrics; FY26 cycle measures ZT maturity, logging, MFA, and asset coverage</w:t>
            </w:r>
          </w:p>
        </w:tc>
        <w:tc>
          <w:tcPr/>
          <w:p>
            <w:pPr>
              <w:pStyle w:val="Compact"/>
            </w:pPr>
            <w:r>
              <w:t xml:space="preserve">PM, CA families</w:t>
            </w:r>
          </w:p>
        </w:tc>
        <w:tc>
          <w:tcPr/>
          <w:p>
            <w:pPr>
              <w:pStyle w:val="Compact"/>
            </w:pPr>
            <w:r>
              <w:t xml:space="preserve">Book 19 ConMon feeds; measured-lifecycle metrics (Part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 30,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M-22-09</w:t>
            </w:r>
            <w:r>
              <w:t xml:space="preserve"> </w:t>
            </w:r>
            <w:r>
              <w:t xml:space="preserve">(Zero Trust)</w:t>
            </w:r>
          </w:p>
        </w:tc>
        <w:tc>
          <w:tcPr/>
          <w:p>
            <w:pPr>
              <w:pStyle w:val="Compact"/>
            </w:pPr>
            <w:r>
              <w:t xml:space="preserve">Phishing-resistant MFA, app-layer enforcement — goals due end FY2024;</w:t>
            </w:r>
            <w:r>
              <w:t xml:space="preserve"> </w:t>
            </w:r>
            <w:r>
              <w:rPr>
                <w:b/>
                <w:bCs/>
              </w:rPr>
              <w:t xml:space="preserve">not superseded</w:t>
            </w:r>
            <w:r>
              <w:t xml:space="preserve">: M-24-14 (Jul 2024) + M-25-04 (Jan 2025) continue maturation; FISMA/CDM still measure progress</w:t>
            </w:r>
          </w:p>
        </w:tc>
        <w:tc>
          <w:tcPr/>
          <w:p>
            <w:pPr>
              <w:pStyle w:val="Compact"/>
            </w:pPr>
            <w:r>
              <w:t xml:space="preserve">IA-2(1)/(2), AC-4, SI-4</w:t>
            </w:r>
          </w:p>
        </w:tc>
        <w:tc>
          <w:tcPr/>
          <w:p>
            <w:pPr>
              <w:pStyle w:val="Compact"/>
            </w:pPr>
            <w:r>
              <w:t xml:space="preserve">Parts 3,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 18, 2022 → 2035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OMB M-23-02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t xml:space="preserve">Annual cryptographic inventories through 2035; migration leads; funding assessments</w:t>
            </w:r>
          </w:p>
        </w:tc>
        <w:tc>
          <w:tcPr/>
          <w:p>
            <w:pPr>
              <w:pStyle w:val="Compact"/>
            </w:pPr>
            <w:r>
              <w:t xml:space="preserve">SC-12, 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13, 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FIPS 203/204/205</w:t>
            </w:r>
          </w:p>
        </w:tc>
        <w:tc>
          <w:tcPr/>
          <w:p>
            <w:pPr>
              <w:pStyle w:val="Compact"/>
            </w:pPr>
            <w:r>
              <w:t xml:space="preserve">PQC algorithms standardized (ML-KEM, ML-DSA, SLH-DSA)</w:t>
            </w:r>
          </w:p>
        </w:tc>
        <w:tc>
          <w:tcPr/>
          <w:p>
            <w:pPr>
              <w:pStyle w:val="Compact"/>
            </w:pPr>
            <w:r>
              <w:t xml:space="preserve">SC-13</w:t>
            </w:r>
          </w:p>
        </w:tc>
        <w:tc>
          <w:tcPr/>
          <w:p>
            <w:pPr>
              <w:pStyle w:val="Compact"/>
            </w:pPr>
            <w:r>
              <w:t xml:space="preserve">Parts 3,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20,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25-01</w:t>
            </w:r>
            <w:r>
              <w:t xml:space="preserve"> </w:t>
            </w:r>
            <w:r>
              <w:t xml:space="preserve">(SCuBA)</w:t>
            </w:r>
          </w:p>
        </w:tc>
        <w:tc>
          <w:tcPr/>
          <w:p>
            <w:pPr>
              <w:pStyle w:val="Compact"/>
            </w:pPr>
            <w:r>
              <w:t xml:space="preserve">Tenants inventoried Feb 21, 2025 → tools deployed Apr 25, 2025 → all mandatory policies Jun 20, 2025</w:t>
            </w:r>
          </w:p>
        </w:tc>
        <w:tc>
          <w:tcPr/>
          <w:p>
            <w:pPr>
              <w:pStyle w:val="Compact"/>
            </w:pPr>
            <w:r>
              <w:t xml:space="preserve">CM-2/6, AC, IA (M365)</w:t>
            </w:r>
          </w:p>
        </w:tc>
        <w:tc>
          <w:tcPr/>
          <w:p>
            <w:pPr>
              <w:pStyle w:val="Compact"/>
            </w:pPr>
            <w:r>
              <w:t xml:space="preserve">KSI-001..010; ScubaDrift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27,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Release 5.2.0</w:t>
            </w:r>
          </w:p>
        </w:tc>
        <w:tc>
          <w:tcPr/>
          <w:p>
            <w:pPr>
              <w:pStyle w:val="Compact"/>
            </w:pPr>
            <w:r>
              <w:t xml:space="preserve">New controls</w:t>
            </w:r>
            <w:r>
              <w:t xml:space="preserve"> </w:t>
            </w:r>
            <w:r>
              <w:rPr>
                <w:b/>
                <w:bCs/>
              </w:rPr>
              <w:t xml:space="preserve">SA-15(13), SA-24, SI-2(7)</w:t>
            </w:r>
            <w:r>
              <w:t xml:space="preserve"> </w:t>
            </w:r>
            <w:r>
              <w:t xml:space="preserve">+ SA/SI discussion updates (EO 14306 patch security)</w:t>
            </w:r>
          </w:p>
        </w:tc>
        <w:tc>
          <w:tcPr/>
          <w:p>
            <w:pPr>
              <w:pStyle w:val="Compact"/>
            </w:pPr>
            <w:r>
              <w:t xml:space="preserve">SA, SI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Gap — see callout below</w:t>
            </w:r>
          </w:p>
        </w:tc>
      </w:tr>
    </w:tbl>
    <w:bookmarkEnd w:id="10"/>
    <w:bookmarkStart w:id="11" w:name="fy2026-the-active-window"/>
    <w:p>
      <w:pPr>
        <w:pStyle w:val="Heading3"/>
      </w:pPr>
      <w:r>
        <w:t xml:space="preserve">FY2026 — the active window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10,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issued</w:t>
            </w:r>
            <w:r>
              <w:t xml:space="preserve"> </w:t>
            </w:r>
            <w:r>
              <w:t xml:space="preserve">(risk-based remediation)</w:t>
            </w:r>
          </w:p>
        </w:tc>
        <w:tc>
          <w:tcPr/>
          <w:p>
            <w:pPr>
              <w:pStyle w:val="Compact"/>
            </w:pPr>
            <w:r>
              <w:t xml:space="preserve">Four-variable risk model (exposure × KEV × automatable × impact); timelines from 3 days to deferral replace flat CVSS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 25,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Consolidated Rules for 2026 published</w:t>
            </w:r>
          </w:p>
        </w:tc>
        <w:tc>
          <w:tcPr/>
          <w:p>
            <w:pPr>
              <w:pStyle w:val="Compact"/>
            </w:pPr>
            <w:r>
              <w:t xml:space="preserve">20x leaves pilot; machine-readable KSI evidence regime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6, 2026</w:t>
            </w:r>
          </w:p>
        </w:tc>
        <w:tc>
          <w:tcPr/>
          <w:p>
            <w:pPr>
              <w:pStyle w:val="Compact"/>
            </w:pPr>
            <w:r>
              <w:t xml:space="preserve">20x Marketplace listings open</w:t>
            </w:r>
          </w:p>
        </w:tc>
        <w:tc>
          <w:tcPr/>
          <w:p>
            <w:pPr>
              <w:pStyle w:val="Compact"/>
            </w:pPr>
            <w:r>
              <w:t xml:space="preserve">CSPs may enter the initial implementation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 28, 2026</w:t>
            </w:r>
          </w:p>
        </w:tc>
        <w:tc>
          <w:tcPr/>
          <w:p>
            <w:pPr>
              <w:pStyle w:val="Compact"/>
            </w:pPr>
            <w:r>
              <w:t xml:space="preserve">FedRAMP Ready goes legacy</w:t>
            </w:r>
          </w:p>
        </w:tc>
        <w:tc>
          <w:tcPr/>
          <w:p>
            <w:pPr>
              <w:pStyle w:val="Compact"/>
            </w:pPr>
            <w:r>
              <w:t xml:space="preserve">No new Ready submissions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26-04: agency policies due</w:t>
            </w:r>
          </w:p>
        </w:tc>
        <w:tc>
          <w:tcPr/>
          <w:p>
            <w:pPr>
              <w:pStyle w:val="Compact"/>
            </w:pPr>
            <w:r>
              <w:t xml:space="preserve">Vulnerability-management policies must support ongoing risk-based 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 10, 2026</w:t>
            </w:r>
          </w:p>
        </w:tc>
        <w:tc>
          <w:tcPr/>
          <w:p>
            <w:pPr>
              <w:pStyle w:val="Compact"/>
            </w:pPr>
            <w:r>
              <w:t xml:space="preserve">Temporary Rev5 Program Certification opens</w:t>
            </w:r>
          </w:p>
        </w:tc>
        <w:tc>
          <w:tcPr/>
          <w:p>
            <w:pPr>
              <w:pStyle w:val="Compact"/>
            </w:pPr>
            <w:r>
              <w:t xml:space="preserve">Class B/C Ready-conversion and lost-sponsor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 —</w:t>
            </w:r>
            <w:r>
              <w:t xml:space="preserve"> </w:t>
            </w:r>
            <w:r>
              <w:rPr>
                <w:b/>
                <w:bCs/>
              </w:rPr>
              <w:t xml:space="preserve">SSA’s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 21,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140-2 certificates → NIST Historical List</w:t>
            </w:r>
          </w:p>
        </w:tc>
        <w:tc>
          <w:tcPr/>
          <w:p>
            <w:pPr>
              <w:pStyle w:val="Compact"/>
            </w:pPr>
            <w:r>
              <w:t xml:space="preserve">No new procurement reliance on 140-2-only validated modules; verify crypto modules are FIPS 140-3 tracked (SC-13)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 26-04 remediation timelines in force + FedRAMP VDR/VER mandatory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required; agencies evaluating/remediating on BOD 26-04 timelines; KSI-011–014 evaluable</w:t>
            </w:r>
          </w:p>
        </w:tc>
      </w:tr>
    </w:tbl>
    <w:bookmarkEnd w:id="11"/>
    <w:bookmarkStart w:id="12" w:name="and-beyond-the-horizon"/>
    <w:p>
      <w:pPr>
        <w:pStyle w:val="Heading3"/>
      </w:pPr>
      <w:r>
        <w:t xml:space="preserve">2027 and beyond — the horizon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 CR26 mandatory for all</w:t>
            </w:r>
          </w:p>
        </w:tc>
        <w:tc>
          <w:tcPr/>
          <w:p>
            <w:pPr>
              <w:pStyle w:val="Compact"/>
            </w:pPr>
            <w:r>
              <w:t xml:space="preserve">All ConMon evidence machine-readable KSI format; legacy Rev 5 path closes for new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CNSA 2.0 acquisition gate</w:t>
            </w:r>
            <w:r>
              <w:t xml:space="preserve"> </w:t>
            </w:r>
            <w:r>
              <w:t xml:space="preserve">(NSS-scoped)</w:t>
            </w:r>
          </w:p>
        </w:tc>
        <w:tc>
          <w:tcPr/>
          <w:p>
            <w:pPr>
              <w:pStyle w:val="Compact"/>
            </w:pPr>
            <w:r>
              <w:t xml:space="preserve">New National Security System acquisitions must support ML-KEM-1024 + ML-DSA-87; civilian trajectory follows via M-23-02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certifications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~Aug 2027</w:t>
            </w:r>
          </w:p>
        </w:tc>
        <w:tc>
          <w:tcPr/>
          <w:p>
            <w:pPr>
              <w:pStyle w:val="Compact"/>
            </w:pPr>
            <w:r>
              <w:t xml:space="preserve">Next scheduled NIST SP 800-53 release</w:t>
            </w:r>
          </w:p>
        </w:tc>
        <w:tc>
          <w:tcPr/>
          <w:p>
            <w:pPr>
              <w:pStyle w:val="Compact"/>
            </w:pPr>
            <w:r>
              <w:t xml:space="preserve">Time-driven major releases every 2 years from Release 5.2.0 — watch for control deltas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Quantum-vulnerable cryptography</w:t>
            </w:r>
            <w:r>
              <w:t xml:space="preserve"> </w:t>
            </w: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(federal target)</w:t>
            </w:r>
          </w:p>
        </w:tc>
        <w:tc>
          <w:tcPr/>
          <w:p>
            <w:pPr>
              <w:pStyle w:val="Compact"/>
            </w:pPr>
            <w:r>
              <w:t xml:space="preserve">RSA/ECC key establishment and signatures phase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PQC migration</w:t>
            </w:r>
            <w:r>
              <w:t xml:space="preserve"> </w:t>
            </w:r>
            <w:r>
              <w:rPr>
                <w:b/>
                <w:bCs/>
              </w:rPr>
              <w:t xml:space="preserve">complete</w:t>
            </w:r>
            <w:r>
              <w:t xml:space="preserve">; quantum-vulnerable</w:t>
            </w:r>
            <w:r>
              <w:t xml:space="preserve"> </w:t>
            </w:r>
            <w:r>
              <w:rPr>
                <w:b/>
                <w:bCs/>
              </w:rPr>
              <w:t xml:space="preserve">prohibited</w:t>
            </w:r>
          </w:p>
        </w:tc>
        <w:tc>
          <w:tcPr/>
          <w:p>
            <w:pPr>
              <w:pStyle w:val="Compact"/>
            </w:pPr>
            <w:r>
              <w:t xml:space="preserve">M-23-02 / NSM-10 horizon for federal civilian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New exposure from Release 5.2.0 (action item):</w:t>
      </w:r>
      <w:r>
        <w:t xml:space="preserve"> </w:t>
      </w:r>
      <w:r>
        <w:t xml:space="preserve">NIST SP 800-53 Release</w:t>
      </w:r>
      <w:r>
        <w:t xml:space="preserve"> </w:t>
      </w:r>
      <w:r>
        <w:t xml:space="preserve">5.2.0 (Aug 27, 2025) added</w:t>
      </w:r>
      <w:r>
        <w:t xml:space="preserve"> </w:t>
      </w:r>
      <w:r>
        <w:rPr>
          <w:b/>
          <w:bCs/>
        </w:rPr>
        <w:t xml:space="preserve">SA-15(13)</w:t>
      </w:r>
      <w:r>
        <w:t xml:space="preserve"> </w:t>
      </w:r>
      <w:r>
        <w:t xml:space="preserve">(secure update process),</w:t>
      </w:r>
      <w:r>
        <w:t xml:space="preserve"> </w:t>
      </w:r>
      <w:r>
        <w:rPr>
          <w:b/>
          <w:bCs/>
        </w:rPr>
        <w:t xml:space="preserve">SA-24</w:t>
      </w:r>
      <w:r>
        <w:t xml:space="preserve"> </w:t>
      </w:r>
      <w:r>
        <w:t xml:space="preserve">(root-of-trust for software updates), and</w:t>
      </w:r>
      <w:r>
        <w:t xml:space="preserve"> </w:t>
      </w:r>
      <w:r>
        <w:rPr>
          <w:b/>
          <w:bCs/>
        </w:rPr>
        <w:t xml:space="preserve">SI-2(7)</w:t>
      </w:r>
      <w:r>
        <w:t xml:space="preserve"> </w:t>
      </w:r>
      <w:r>
        <w:t xml:space="preserve">(update integrity</w:t>
      </w:r>
      <w:r>
        <w:t xml:space="preserve"> </w:t>
      </w:r>
      <w:r>
        <w:t xml:space="preserve">verification), plus discussion changes across SA-4/5/8 and SI-2. The AAN</w:t>
      </w:r>
      <w:r>
        <w:t xml:space="preserve"> </w:t>
      </w:r>
      <w:r>
        <w:t xml:space="preserve">series control-closure tables (Parts 11, 15) predate the additions and do not</w:t>
      </w:r>
      <w:r>
        <w:t xml:space="preserve"> </w:t>
      </w:r>
      <w:r>
        <w:t xml:space="preserve">yet map them. When FedRAMP incorporates 5.2.0 deltas into baselines, these</w:t>
      </w:r>
      <w:r>
        <w:t xml:space="preserve"> </w:t>
      </w:r>
      <w:r>
        <w:t xml:space="preserve">three land in the Part 11 / Part 15 closure scope — track and map before the</w:t>
      </w:r>
      <w:r>
        <w:t xml:space="preserve"> </w:t>
      </w:r>
      <w:r>
        <w:t xml:space="preserve">next annual assessment.</w:t>
      </w:r>
    </w:p>
    <w:p>
      <w:pPr>
        <w:pStyle w:val="FirstParagraph"/>
      </w:pPr>
      <w:r>
        <w:rPr>
          <w:b/>
          <w:bCs/>
        </w:rPr>
        <w:t xml:space="preserve">Timeline sources (verified 2026-07-07):</w:t>
      </w:r>
      <w:r>
        <w:t xml:space="preserve"> </w:t>
      </w:r>
      <w:r>
        <w:t xml:space="preserve">FedRAMP Consolidated Rules for</w:t>
      </w:r>
      <w:r>
        <w:t xml:space="preserve"> </w:t>
      </w:r>
      <w:r>
        <w:t xml:space="preserve">2026 announcement + timeline (fedramp.gov/20x); CISA BOD 26-04 directive +</w:t>
      </w:r>
      <w:r>
        <w:t xml:space="preserve"> </w:t>
      </w:r>
      <w:r>
        <w:t xml:space="preserve">implementation guidance (cisa.gov); FedRAMP notice 0014 (BOD 26-04 response —</w:t>
      </w:r>
      <w:r>
        <w:t xml:space="preserve"> </w:t>
      </w:r>
      <w:r>
        <w:t xml:space="preserve">VDR/VER Dec 7, 2026); CISA BOD 25-01 / 23-02 (cisa.gov); NIST SP 800-53</w:t>
      </w:r>
      <w:r>
        <w:t xml:space="preserve"> </w:t>
      </w:r>
      <w:r>
        <w:t xml:space="preserve">Release 5.2.0 change summary (csrc.nist.gov, Aug 27, 2025); OMB M-22-09 /</w:t>
      </w:r>
      <w:r>
        <w:t xml:space="preserve"> </w:t>
      </w:r>
      <w:r>
        <w:t xml:space="preserve">M-21-31 / M-21-07 / M-23-02 (whitehouse.gov); NSA CNSA 2.0 (v2.1, Dec 2024);</w:t>
      </w:r>
      <w:r>
        <w:t xml:space="preserve"> </w:t>
      </w:r>
      <w:r>
        <w:t xml:space="preserve">NIST FIPS 140-2 Historical List transition (Sep 21, 2026); CISA FISMA CIO</w:t>
      </w:r>
      <w:r>
        <w:t xml:space="preserve"> </w:t>
      </w:r>
      <w:r>
        <w:t xml:space="preserve">metrics / CyberScope reporting guidance.</w:t>
      </w:r>
    </w:p>
    <w:bookmarkEnd w:id="12"/>
    <w:bookmarkStart w:id="13" w:name="X1d1d5b3c6f13230bac7722390f45a67e1261335"/>
    <w:p>
      <w:pPr>
        <w:pStyle w:val="Heading3"/>
      </w:pPr>
      <w:r>
        <w:t xml:space="preserve">Scoping notes — adjacent regimes, deliberately bounded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governance (OMB M-24-10, superseded Apr 2025 by M-25-21/M-25-22; NIST</w:t>
      </w:r>
      <w:r>
        <w:rPr>
          <w:b/>
          <w:bCs/>
        </w:rPr>
        <w:t xml:space="preserve"> </w:t>
      </w:r>
      <w:r>
        <w:rPr>
          <w:b/>
          <w:bCs/>
        </w:rPr>
        <w:t xml:space="preserve">AI RMF):</w:t>
      </w:r>
      <w:r>
        <w:t xml:space="preserve"> </w:t>
      </w:r>
      <w:r>
        <w:t xml:space="preserve">out of scope for this series</w:t>
      </w:r>
      <w:r>
        <w:t xml:space="preserve"> </w:t>
      </w:r>
      <w:r>
        <w:rPr>
          <w:i/>
          <w:iCs/>
        </w:rPr>
        <w:t xml:space="preserve">as long as no AI system 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sits inside the authorization boundary</w:t>
      </w:r>
      <w:r>
        <w:t xml:space="preserve">. The series’ network, identity, and</w:t>
      </w:r>
      <w:r>
        <w:t xml:space="preserve"> </w:t>
      </w:r>
      <w:r>
        <w:t xml:space="preserve">evidence planes carry no AI decision systems. If SSA deploys AI within the</w:t>
      </w:r>
      <w:r>
        <w:t xml:space="preserve"> </w:t>
      </w:r>
      <w:r>
        <w:t xml:space="preserve">boundary, the AI use-case inventory, risk management, and transparency</w:t>
      </w:r>
      <w:r>
        <w:t xml:space="preserve"> </w:t>
      </w:r>
      <w:r>
        <w:t xml:space="preserve">requirements attach — track the decision in the PM governance layer</w:t>
      </w:r>
      <w:r>
        <w:t xml:space="preserve"> </w:t>
      </w:r>
      <w:r>
        <w:t xml:space="preserve">(Book 16) and revisit this note. (The SSA reviewer’s reference to</w:t>
      </w:r>
      <w:r>
        <w:t xml:space="preserve"> </w:t>
      </w:r>
      <w:r>
        <w:t xml:space="preserve">“M-24-04”</w:t>
      </w:r>
      <w:r>
        <w:t xml:space="preserve"> </w:t>
      </w:r>
      <w:r>
        <w:t xml:space="preserve">conflates the FY24 FISMA guidance memo with the AI memo; the</w:t>
      </w:r>
      <w:r>
        <w:t xml:space="preserve"> </w:t>
      </w:r>
      <w:r>
        <w:t xml:space="preserve">correct citations are above.)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lifecycle (PIA/PTA under OMB A-130):</w:t>
      </w:r>
      <w:r>
        <w:t xml:space="preserve"> </w:t>
      </w:r>
      <w:r>
        <w:t xml:space="preserve">the control-family mapping</w:t>
      </w:r>
      <w:r>
        <w:t xml:space="preserve"> </w:t>
      </w:r>
      <w:r>
        <w:t xml:space="preserve">is Part 17’s PT coverage (Rev 5 integrated the former Appendix J privacy</w:t>
      </w:r>
      <w:r>
        <w:t xml:space="preserve"> </w:t>
      </w:r>
      <w:r>
        <w:t xml:space="preserve">controls into the catalog; Appendix J no longer exists as such). The</w:t>
      </w:r>
      <w:r>
        <w:t xml:space="preserve"> </w:t>
      </w:r>
      <w:r>
        <w:t xml:space="preserve">PIA/PTA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lifecycle — privacy threshold analysis at system</w:t>
      </w:r>
      <w:r>
        <w:t xml:space="preserve"> </w:t>
      </w:r>
      <w:r>
        <w:t xml:space="preserve">change, privacy impact assessment before PII processing changes — is an</w:t>
      </w:r>
      <w:r>
        <w:t xml:space="preserve"> </w:t>
      </w:r>
      <w:r>
        <w:t xml:space="preserve">agency SOP artifact layered on Part 17’s DFL-001..006 data-flow maps.</w:t>
      </w:r>
      <w:r>
        <w:t xml:space="preserve"> </w:t>
      </w:r>
      <w:r>
        <w:t xml:space="preserve">Flagged as Part 17 backlog: PTA/PIA procedure templates keyed to the</w:t>
      </w:r>
      <w:r>
        <w:t xml:space="preserve"> </w:t>
      </w:r>
      <w:r>
        <w:t xml:space="preserve">data-flow map identifiers.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Memory-safe languages (CISA/NSA joint guidance,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Case 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Memory-Safe Roadmaps</w:t>
      </w:r>
      <w:r>
        <w:rPr>
          <w:b/>
          <w:bCs/>
        </w:rPr>
        <w:t xml:space="preserve">, Dec 2023; CISA Secure by Design):</w:t>
      </w:r>
      <w:r>
        <w:t xml:space="preserve"> </w:t>
      </w:r>
      <w:r>
        <w:t xml:space="preserve">guidance aimed</w:t>
      </w:r>
      <w:r>
        <w:t xml:space="preserve"> </w:t>
      </w:r>
      <w:r>
        <w:t xml:space="preserve">at software</w:t>
      </w:r>
      <w:r>
        <w:t xml:space="preserve"> </w:t>
      </w:r>
      <w:r>
        <w:rPr>
          <w:i/>
          <w:iCs/>
        </w:rPr>
        <w:t xml:space="preserve">manufacturers</w:t>
      </w:r>
      <w:r>
        <w:t xml:space="preserve">, not a directive binding on agencies — and</w:t>
      </w:r>
      <w:r>
        <w:t xml:space="preserve"> </w:t>
      </w:r>
      <w:r>
        <w:t xml:space="preserve">distinct from BOD 23-02, which covers internet-exposed management</w:t>
      </w:r>
      <w:r>
        <w:t xml:space="preserve"> </w:t>
      </w:r>
      <w:r>
        <w:t xml:space="preserve">interfaces and appears in the timeline above. The series hook is Part 15</w:t>
      </w:r>
      <w:r>
        <w:t xml:space="preserve"> </w:t>
      </w:r>
      <w:r>
        <w:t xml:space="preserve">vendor diligence: whether a supplier publishes a memory-safety roadmap</w:t>
      </w:r>
      <w:r>
        <w:t xml:space="preserve"> </w:t>
      </w:r>
      <w:r>
        <w:t xml:space="preserve">joins the SCRM evaluation criteria alongside SBOM/VDR posture.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adac7c4fb24edd27b0cdc9f8e1c84b6a2d3645"/>
    <w:p>
      <w:pPr>
        <w:pStyle w:val="Heading2"/>
      </w:pPr>
      <w:r>
        <w:t xml:space="preserve">Mechanism, Not Product — Alternative Implementation Paths</w:t>
      </w:r>
    </w:p>
    <w:p>
      <w:pPr>
        <w:pStyle w:val="FirstParagraph"/>
      </w:pPr>
      <w:r>
        <w:rPr>
          <w:i/>
          <w:iCs/>
        </w:rPr>
        <w:t xml:space="preserve">Added 2026-07-07 in response to SSA review feedback. The feedback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that the series’</w:t>
      </w:r>
      <w:r>
        <w:rPr>
          <w:i/>
          <w:iCs/>
        </w:rPr>
        <w:t xml:space="preserve"> </w:t>
      </w:r>
      <w:r>
        <w:rPr>
          <w:i/>
          <w:iCs/>
        </w:rPr>
        <w:t xml:space="preserve">“no alternate closure path”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can be</w:t>
      </w:r>
      <w:r>
        <w:rPr>
          <w:i/>
          <w:iCs/>
        </w:rPr>
        <w:t xml:space="preserve"> </w:t>
      </w:r>
      <w:r>
        <w:rPr>
          <w:i/>
          <w:iCs/>
        </w:rPr>
        <w:t xml:space="preserve">misread. The clarification, stated plainly:</w:t>
      </w:r>
    </w:p>
    <w:p>
      <w:pPr>
        <w:pStyle w:val="BlockText"/>
      </w:pPr>
      <w:r>
        <w:rPr>
          <w:b/>
          <w:bCs/>
        </w:rPr>
        <w:t xml:space="preserve">Closure necessity names mechanism classes, never products.</w:t>
      </w:r>
      <w:r>
        <w:t xml:space="preserve"> </w:t>
      </w:r>
      <w:r>
        <w:t xml:space="preserve">“Only</w:t>
      </w:r>
      <w:r>
        <w:t xml:space="preserve"> </w:t>
      </w:r>
      <w:r>
        <w:t xml:space="preserve">port-based authentication closes IA-3”</w:t>
      </w:r>
      <w:r>
        <w:t xml:space="preserve"> </w:t>
      </w:r>
      <w:r>
        <w:t xml:space="preserve">is a claim about protocol behavior;</w:t>
      </w:r>
      <w:r>
        <w:t xml:space="preserve"> </w:t>
      </w:r>
      <w:r>
        <w:t xml:space="preserve">it is falsifiable and it names no vendor. The products named throughout</w:t>
      </w:r>
      <w:r>
        <w:t xml:space="preserve"> </w:t>
      </w:r>
      <w:r>
        <w:t xml:space="preserve">the series (InfoBlox, NPS, Cisco Catalyst SD-WAN, Entra ID, Oracle HCM</w:t>
      </w:r>
      <w:r>
        <w:t xml:space="preserve"> </w:t>
      </w:r>
      <w:r>
        <w:t xml:space="preserve">Cloud, Sentinel) are</w:t>
      </w:r>
      <w:r>
        <w:t xml:space="preserve"> </w:t>
      </w:r>
      <w:r>
        <w:rPr>
          <w:b/>
          <w:bCs/>
        </w:rPr>
        <w:t xml:space="preserve">deployed examples of the mechanism</w:t>
      </w:r>
      <w:r>
        <w:t xml:space="preserve">, chosen for</w:t>
      </w:r>
      <w:r>
        <w:t xml:space="preserve"> </w:t>
      </w:r>
      <w:r>
        <w:t xml:space="preserve">SSA’s current estate. For every layer there are FedRAMP-authorized</w:t>
      </w:r>
      <w:r>
        <w:t xml:space="preserve"> </w:t>
      </w:r>
      <w:r>
        <w:t xml:space="preserve">alternatives that satisfy the same mechanism — and per program doctrine,</w:t>
      </w:r>
      <w:r>
        <w:t xml:space="preserve"> </w:t>
      </w:r>
      <w:r>
        <w:rPr>
          <w:b/>
          <w:bCs/>
        </w:rPr>
        <w:t xml:space="preserve">the agency must select one path per layer, and the selected path becomes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 once chosen.</w:t>
      </w:r>
      <w:r>
        <w:t xml:space="preserve"> </w:t>
      </w:r>
      <w:r>
        <w:t xml:space="preserve">Multiple compliant paths exist before the choice;</w:t>
      </w:r>
      <w:r>
        <w:t xml:space="preserve"> </w:t>
      </w:r>
      <w:r>
        <w:t xml:space="preserve">exactly one exists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 (mechanism that closes the controls)</w:t>
            </w:r>
          </w:p>
        </w:tc>
        <w:tc>
          <w:tcPr/>
          <w:p>
            <w:pPr>
              <w:pStyle w:val="Compact"/>
            </w:pPr>
            <w:r>
              <w:t xml:space="preserve">Deployed example</w:t>
            </w:r>
          </w:p>
        </w:tc>
        <w:tc>
          <w:tcPr/>
          <w:p>
            <w:pPr>
              <w:pStyle w:val="Compact"/>
            </w:pPr>
            <w:r>
              <w:t xml:space="preserve">FedRAMP-authorized alternatives (verify current status on the Marketplace)</w:t>
            </w:r>
          </w:p>
        </w:tc>
        <w:tc>
          <w:tcPr/>
          <w:p>
            <w:pPr>
              <w:pStyle w:val="Compact"/>
            </w:pPr>
            <w:r>
              <w:t xml:space="preserve">What changes on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Unified DDI</w:t>
            </w:r>
            <w:r>
              <w:t xml:space="preserve"> </w:t>
            </w:r>
            <w:r>
              <w:t xml:space="preserve">— authoritative DNS/DHCP/IPAM with DNSSEC + RPZ (SC-20/21/22, CM-8)</w:t>
            </w:r>
          </w:p>
        </w:tc>
        <w:tc>
          <w:tcPr/>
          <w:p>
            <w:pPr>
              <w:pStyle w:val="Compact"/>
            </w:pPr>
            <w:r>
              <w:t xml:space="preserve">InfoBlox NIOS / BloxOne</w:t>
            </w:r>
          </w:p>
        </w:tc>
        <w:tc>
          <w:tcPr/>
          <w:p>
            <w:pPr>
              <w:pStyle w:val="Compact"/>
            </w:pPr>
            <w:r>
              <w:t xml:space="preserve">BlueCat Integrity; composite path: Azure DNS Private Resolver + Route 53/AWS IPAM + Windows DHCP</w:t>
            </w:r>
          </w:p>
        </w:tc>
        <w:tc>
          <w:tcPr/>
          <w:p>
            <w:pPr>
              <w:pStyle w:val="Compact"/>
            </w:pPr>
            <w:r>
              <w:t xml:space="preserve">Adapter/connector work per cloud; the composite path forfeits the single policy plane and re-opens the split-brain risk the whitepaper documents — compensating reconciliation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 / RADIUS</w:t>
            </w:r>
            <w:r>
              <w:t xml:space="preserve"> </w:t>
            </w:r>
            <w:r>
              <w:t xml:space="preserve">— 802.1X EAP-TLS at the port (IA-3, SC-7(3)/(5))</w:t>
            </w:r>
          </w:p>
        </w:tc>
        <w:tc>
          <w:tcPr/>
          <w:p>
            <w:pPr>
              <w:pStyle w:val="Compact"/>
            </w:pPr>
            <w:r>
              <w:t xml:space="preserve">Microsoft NPS</w:t>
            </w:r>
          </w:p>
        </w:tc>
        <w:tc>
          <w:tcPr/>
          <w:p>
            <w:pPr>
              <w:pStyle w:val="Compact"/>
            </w:pPr>
            <w:r>
              <w:t xml:space="preserve">Cisco ISE; Aruba ClearPass; Forescout</w:t>
            </w:r>
          </w:p>
        </w:tc>
        <w:tc>
          <w:tcPr/>
          <w:p>
            <w:pPr>
              <w:pStyle w:val="Compact"/>
            </w:pPr>
            <w:r>
              <w:t xml:space="preserve">Same EAP-TLS + Entra inventory pattern (Book 02 already names these); policy syntax, posture connectors, and CoA integration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SD-WAN</w:t>
            </w:r>
            <w:r>
              <w:t xml:space="preserve"> </w:t>
            </w:r>
            <w:r>
              <w:t xml:space="preserve">— active-active multipath overlay with per-app steering (SC-8, AC-4, AU-12)</w:t>
            </w:r>
          </w:p>
        </w:tc>
        <w:tc>
          <w:tcPr/>
          <w:p>
            <w:pPr>
              <w:pStyle w:val="Compac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</w:pPr>
            <w:r>
              <w:t xml:space="preserve">Palo Alto Prisma SD-WAN; Fortinet Secure SD-WAN; Versa; VMware VeloCloud</w:t>
            </w:r>
          </w:p>
        </w:tc>
        <w:tc>
          <w:tcPr/>
          <w:p>
            <w:pPr>
              <w:pStyle w:val="Compact"/>
            </w:pPr>
            <w:r>
              <w:t xml:space="preserve">Book 05 Appendix A’s boundary table and KSI evidence contracts re-derived per vendor; an M365 Cloud OnRamp equivalent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SASE / SSE</w:t>
            </w:r>
            <w:r>
              <w:t xml:space="preserve"> </w:t>
            </w:r>
            <w:r>
              <w:t xml:space="preserve">— distributed TIC 3.0 PEP (SC-7, SI-3, AC-4)</w:t>
            </w:r>
          </w:p>
        </w:tc>
        <w:tc>
          <w:tcPr/>
          <w:p>
            <w:pPr>
              <w:pStyle w:val="Compact"/>
            </w:pPr>
            <w:r>
              <w:t xml:space="preserve">Cisco Umbrella</w:t>
            </w:r>
          </w:p>
        </w:tc>
        <w:tc>
          <w:tcPr/>
          <w:p>
            <w:pPr>
              <w:pStyle w:val="Compact"/>
            </w:pPr>
            <w:r>
              <w:t xml:space="preserve">Zscaler; Netskope GovCloud; Palo Alto Prisma Access</w:t>
            </w:r>
          </w:p>
        </w:tc>
        <w:tc>
          <w:tcPr/>
          <w:p>
            <w:pPr>
              <w:pStyle w:val="Compact"/>
            </w:pPr>
            <w:r>
              <w:t xml:space="preserve">TIC 3.0 capability mapping redone at the new PEP; M365 Optimize-category exemption honored identically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provider</w:t>
            </w:r>
            <w:r>
              <w:t xml:space="preserve"> </w:t>
            </w:r>
            <w:r>
              <w:t xml:space="preserve">— token issuance + conditional access (IA-2, AC-2)</w:t>
            </w:r>
          </w:p>
        </w:tc>
        <w:tc>
          <w:tcPr/>
          <w:p>
            <w:pPr>
              <w:pStyle w:val="Compact"/>
            </w:pPr>
            <w:r>
              <w:t xml:space="preserve">Entra ID (GCC)</w:t>
            </w:r>
          </w:p>
        </w:tc>
        <w:tc>
          <w:tcPr/>
          <w:p>
            <w:pPr>
              <w:pStyle w:val="Compact"/>
            </w:pPr>
            <w:r>
              <w:t xml:space="preserve">Okta for Government; Ping Government</w:t>
            </w:r>
          </w:p>
        </w:tc>
        <w:tc>
          <w:tcPr/>
          <w:p>
            <w:pPr>
              <w:pStyle w:val="Compact"/>
            </w:pPr>
            <w:r>
              <w:t xml:space="preserve">Entra is structurally coupled to M365 GCC — alternatives realistically front non-M365 applications rather than replace the tenant IdP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system of record</w:t>
            </w:r>
            <w:r>
              <w:t xml:space="preserve"> </w:t>
            </w:r>
            <w:r>
              <w:t xml:space="preserve">— event-driven identity SSOT (AC-2, PS-4/5, IA-4)</w:t>
            </w:r>
          </w:p>
        </w:tc>
        <w:tc>
          <w:tcPr/>
          <w:p>
            <w:pPr>
              <w:pStyle w:val="Compact"/>
            </w:pPr>
            <w:r>
              <w:t xml:space="preserve">Oracle HCM Cloud</w:t>
            </w:r>
          </w:p>
        </w:tc>
        <w:tc>
          <w:tcPr/>
          <w:p>
            <w:pPr>
              <w:pStyle w:val="Compact"/>
            </w:pPr>
            <w:r>
              <w:t xml:space="preserve">Workday Government Cloud; SAP SuccessFactors (gov)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of the doctrine changes.</w:t>
            </w:r>
            <w:r>
              <w:t xml:space="preserve"> </w:t>
            </w:r>
            <w:r>
              <w:t xml:space="preserve">Spec2-D3.1 is source-agnostic by design: the middleware adapter changes, the SCIM pipeline and every downstream derivation do not (Book 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/ evidence plane</w:t>
            </w:r>
            <w:r>
              <w:t xml:space="preserve"> </w:t>
            </w:r>
            <w:r>
              <w:t xml:space="preserve">— unified telemetry + analytics (AU-6, SI-4, IR-4)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Splunk (GovCloud); Elastic (gov offerings); Devo (gov)</w:t>
            </w:r>
          </w:p>
        </w:tc>
        <w:tc>
          <w:tcPr/>
          <w:p>
            <w:pPr>
              <w:pStyle w:val="Compact"/>
            </w:pPr>
            <w:r>
              <w:t xml:space="preserve">Detection content rewritten (KQL → SPL/EQL); the slot evidence contracts and OSCAL emitters are format-stable and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</w:t>
            </w:r>
            <w:r>
              <w:t xml:space="preserve"> </w:t>
            </w:r>
            <w:r>
              <w:t xml:space="preserve">— JIT elevation + privileged workstations (AC-5/6, IA-11)</w:t>
            </w:r>
          </w:p>
        </w:tc>
        <w:tc>
          <w:tcPr/>
          <w:p>
            <w:pPr>
              <w:pStyle w:val="Compact"/>
            </w:pPr>
            <w:r>
              <w:t xml:space="preserve">Entra PIM + PAW</w:t>
            </w:r>
          </w:p>
        </w:tc>
        <w:tc>
          <w:tcPr/>
          <w:p>
            <w:pPr>
              <w:pStyle w:val="Compact"/>
            </w:pPr>
            <w:r>
              <w:t xml:space="preserve">CyberArk (gov); BeyondTrust; Delinea</w:t>
            </w:r>
          </w:p>
        </w:tc>
        <w:tc>
          <w:tcPr/>
          <w:p>
            <w:pPr>
              <w:pStyle w:val="Compact"/>
            </w:pPr>
            <w:r>
              <w:t xml:space="preserve">JIT activation and approval routing still resolve against the Part 4 org SSOT; workflow integration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lifecycle</w:t>
            </w:r>
            <w:r>
              <w:t xml:space="preserve"> </w:t>
            </w:r>
            <w:r>
              <w:t xml:space="preserve">— CLM bound to the DNS SSOT (IA-5(2), SC-17)</w:t>
            </w:r>
          </w:p>
        </w:tc>
        <w:tc>
          <w:tcPr/>
          <w:p>
            <w:pPr>
              <w:pStyle w:val="Compact"/>
            </w:pPr>
            <w:r>
              <w:t xml:space="preserve">Keyfactor / Sectigo (named in Part 1)</w:t>
            </w:r>
          </w:p>
        </w:tc>
        <w:tc>
          <w:tcPr/>
          <w:p>
            <w:pPr>
              <w:pStyle w:val="Compact"/>
            </w:pPr>
            <w:r>
              <w:t xml:space="preserve">Venafi; AppViewX</w:t>
            </w:r>
          </w:p>
        </w:tc>
        <w:tc>
          <w:tcPr/>
          <w:p>
            <w:pPr>
              <w:pStyle w:val="Compact"/>
            </w:pPr>
            <w:r>
              <w:t xml:space="preserve">The DNS-name-as-SSOT binding pattern is the invariant; connector estate differs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MDM / posture</w:t>
            </w:r>
            <w:r>
              <w:t xml:space="preserve"> </w:t>
            </w:r>
            <w:r>
              <w:t xml:space="preserve">— compliance signal into NAC + CA (CM-2/6)</w:t>
            </w:r>
          </w:p>
        </w:tc>
        <w:tc>
          <w:tcPr/>
          <w:p>
            <w:pPr>
              <w:pStyle w:val="Compac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</w:pPr>
            <w:r>
              <w:t xml:space="preserve">Omnissa Workspace ONE (gov); Jamf (macOS estate)</w:t>
            </w:r>
          </w:p>
        </w:tc>
        <w:tc>
          <w:tcPr/>
          <w:p>
            <w:pPr>
              <w:pStyle w:val="Compact"/>
            </w:pPr>
            <w:r>
              <w:t xml:space="preserve">SCEP profile delivery and a compliance API the RADIUS layer can query are the invariants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deliberately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integrated here:</w:t>
      </w:r>
      <w:r>
        <w:t xml:space="preserve"> </w:t>
      </w:r>
      <w:r>
        <w:t xml:space="preserve">the NGTP procurement bid</w:t>
      </w:r>
      <w:r>
        <w:t xml:space="preserve"> </w:t>
      </w:r>
      <w:r>
        <w:t xml:space="preserve">matrices (Vendor A–F). Those are source-selection-sensitive acquisition</w:t>
      </w:r>
      <w:r>
        <w:t xml:space="preserve"> </w:t>
      </w:r>
      <w:r>
        <w:t xml:space="preserve">documents; folding them into an architecture corpus would compromise the</w:t>
      </w:r>
      <w:r>
        <w:t xml:space="preserve"> </w:t>
      </w:r>
      <w:r>
        <w:t xml:space="preserve">procurement. This table serves the same leadership question (</w:t>
      </w:r>
      <w:r>
        <w:t xml:space="preserve">“are there</w:t>
      </w:r>
      <w:r>
        <w:t xml:space="preserve"> </w:t>
      </w:r>
      <w:r>
        <w:t xml:space="preserve">other ways to comply?”</w:t>
      </w:r>
      <w:r>
        <w:t xml:space="preserve">) from public, non-competitive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X0b0b88e7bcf1ecd8dc5e049fc388173f4bf749d"/>
    <w:p>
      <w:pPr>
        <w:pStyle w:val="Heading2"/>
      </w:pPr>
      <w:r>
        <w:t xml:space="preserve">GCC-Moderate Boundary Gaps — Where the Compensating-Control Work Lives</w:t>
      </w:r>
    </w:p>
    <w:p>
      <w:pPr>
        <w:pStyle w:val="FirstParagraph"/>
      </w:pPr>
      <w:r>
        <w:t xml:space="preserve">The SSA review asked for a</w:t>
      </w:r>
      <w:r>
        <w:t xml:space="preserve"> </w:t>
      </w:r>
      <w:r>
        <w:t xml:space="preserve">“compensating control matrix for GCC-Moderate</w:t>
      </w:r>
      <w:r>
        <w:t xml:space="preserve"> </w:t>
      </w:r>
      <w:r>
        <w:t xml:space="preserve">feature gaps.”</w:t>
      </w:r>
      <w:r>
        <w:t xml:space="preserve"> </w:t>
      </w:r>
      <w:r>
        <w:rPr>
          <w:b/>
          <w:bCs/>
        </w:rPr>
        <w:t xml:space="preserve">That artifact exists and is maintained outside this</w:t>
      </w:r>
      <w:r>
        <w:rPr>
          <w:b/>
          <w:bCs/>
        </w:rPr>
        <w:t xml:space="preserve"> </w:t>
      </w:r>
      <w:r>
        <w:rPr>
          <w:b/>
          <w:bCs/>
        </w:rPr>
        <w:t xml:space="preserve">roadmap</w:t>
      </w:r>
      <w:r>
        <w:t xml:space="preserve">, in the CSI Team’s GCC Moderate boundary-analysis workstream (the</w:t>
      </w:r>
      <w:r>
        <w:t xml:space="preserve"> </w:t>
      </w:r>
      <w:r>
        <w:t xml:space="preserve">SCuBA / FedRAMP boundary-limitations briefs and their gap registers):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machine-readable telemetry-gap register</w:t>
      </w:r>
      <w:r>
        <w:t xml:space="preserve"> </w:t>
      </w:r>
      <w:r>
        <w:t xml:space="preserve">— the signal source of</w:t>
      </w:r>
      <w:r>
        <w:t xml:space="preserve"> </w:t>
      </w:r>
      <w:r>
        <w:t xml:space="preserve">truth: every telemetry and feature signal unavailable at the GCC Moderate</w:t>
      </w:r>
      <w:r>
        <w:t xml:space="preserve"> </w:t>
      </w:r>
      <w:r>
        <w:t xml:space="preserve">service level, with per-signal fix coverage.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fix-coverage matrix</w:t>
      </w:r>
      <w:r>
        <w:t xml:space="preserve"> </w:t>
      </w:r>
      <w:r>
        <w:t xml:space="preserve">regenerated automatically from that register on</w:t>
      </w:r>
      <w:r>
        <w:t xml:space="preserve"> </w:t>
      </w:r>
      <w:r>
        <w:t xml:space="preserve">every change, so the matrix cannot drift from the register it summarizes.</w:t>
      </w:r>
    </w:p>
    <w:p>
      <w:pPr>
        <w:pStyle w:val="Compact"/>
        <w:numPr>
          <w:ilvl w:val="0"/>
          <w:numId w:val="1002"/>
        </w:numPr>
      </w:pPr>
      <w:r>
        <w:t xml:space="preserve">The boundary analysis’s honest finding, restated here so this roadmap</w:t>
      </w:r>
      <w:r>
        <w:t xml:space="preserve"> </w:t>
      </w:r>
      <w:r>
        <w:t xml:space="preserve">cannot be read as contradicting it:</w:t>
      </w:r>
      <w:r>
        <w:t xml:space="preserve"> </w:t>
      </w:r>
      <w:r>
        <w:rPr>
          <w:b/>
          <w:bCs/>
        </w:rPr>
        <w:t xml:space="preserve">full compensation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</w:t>
      </w:r>
      <w:r>
        <w:t xml:space="preserve"> </w:t>
      </w:r>
      <w:r>
        <w:t xml:space="preserve">for every gap at GCC Moderate. Gaps divide into compensable</w:t>
      </w:r>
      <w:r>
        <w:t xml:space="preserve"> </w:t>
      </w:r>
      <w:r>
        <w:t xml:space="preserve">(compensating control documented), partially compensable (residual risk</w:t>
      </w:r>
      <w:r>
        <w:t xml:space="preserve"> </w:t>
      </w:r>
      <w:r>
        <w:t xml:space="preserve">accepted and registered), and non-compensable (candidate input to any</w:t>
      </w:r>
      <w:r>
        <w:t xml:space="preserve"> </w:t>
      </w:r>
      <w:r>
        <w:t xml:space="preserve">future boundary-variance discussion).</w:t>
      </w:r>
    </w:p>
    <w:p>
      <w:pPr>
        <w:pStyle w:val="Compact"/>
        <w:numPr>
          <w:ilvl w:val="0"/>
          <w:numId w:val="1002"/>
        </w:numPr>
      </w:pPr>
      <w:r>
        <w:t xml:space="preserve">Boundary</w:t>
      </w:r>
      <w:r>
        <w:t xml:space="preserve"> </w:t>
      </w:r>
      <w:r>
        <w:rPr>
          <w:i/>
          <w:iCs/>
        </w:rPr>
        <w:t xml:space="preserve">expansion</w:t>
      </w:r>
      <w:r>
        <w:t xml:space="preserve"> </w:t>
      </w:r>
      <w:r>
        <w:t xml:space="preserve">analysis (GCC High and above) deliberately lives in</w:t>
      </w:r>
      <w:r>
        <w:t xml:space="preserve"> </w:t>
      </w:r>
      <w:r>
        <w:t xml:space="preserve">that workstream, not in this series — the series is scoped</w:t>
      </w:r>
      <w:r>
        <w:t xml:space="preserve"> </w:t>
      </w:r>
      <w:r>
        <w:rPr>
          <w:b/>
          <w:bCs/>
        </w:rPr>
        <w:t xml:space="preserve">FedRAMP</w:t>
      </w:r>
      <w:r>
        <w:rPr>
          <w:b/>
          <w:bCs/>
        </w:rPr>
        <w:t xml:space="preserve"> </w:t>
      </w:r>
      <w:r>
        <w:rPr>
          <w:b/>
          <w:bCs/>
        </w:rPr>
        <w:t xml:space="preserve">Moderate only</w:t>
      </w:r>
      <w:r>
        <w:t xml:space="preserve">, and boundary-variance decisions are an OIS/CIO</w:t>
      </w:r>
      <w:r>
        <w:t xml:space="preserve"> </w:t>
      </w:r>
      <w:r>
        <w:t xml:space="preserve">governance matter informed by the registers.</w:t>
      </w:r>
    </w:p>
    <w:p>
      <w:pPr>
        <w:pStyle w:val="FirstParagraph"/>
      </w:pPr>
      <w:r>
        <w:t xml:space="preserve">This roadmap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that workstream rather than duplicating it. The KSI</w:t>
      </w:r>
      <w:r>
        <w:t xml:space="preserve"> </w:t>
      </w:r>
      <w:r>
        <w:t xml:space="preserve">consequence is already wired: the ScuBA-based rules (KSI-001..010) carry</w:t>
      </w:r>
      <w:r>
        <w:t xml:space="preserve"> </w:t>
      </w:r>
      <w:r>
        <w:t xml:space="preserve">ScubaDrift dispositions that distinguish governed exceptions from actionable</w:t>
      </w:r>
      <w:r>
        <w:t xml:space="preserve"> </w:t>
      </w:r>
      <w:r>
        <w:t xml:space="preserve">drift — a governed exception backed by the gap register is evidence, not a</w:t>
      </w:r>
      <w:r>
        <w:t xml:space="preserve"> </w:t>
      </w:r>
      <w:r>
        <w:t xml:space="preserve">finding.</w:t>
      </w:r>
    </w:p>
    <w:p>
      <w:r>
        <w:pict>
          <v:rect style="width:0;height:1.5pt" o:hralign="center" o:hrstd="t" o:hr="t"/>
        </w:pict>
      </w:r>
    </w:p>
    <w:bookmarkEnd w:id="16"/>
    <w:bookmarkStart w:id="20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7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7"/>
    <w:bookmarkStart w:id="18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8"/>
    <w:bookmarkStart w:id="19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21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21"/>
    <w:bookmarkStart w:id="22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3" w:name="sequenced-implementation-plan"/>
    <w:p>
      <w:pPr>
        <w:pStyle w:val="Heading2"/>
      </w:pPr>
      <w:r>
        <w:t xml:space="preserve">Sequenced Implementation Plan</w:t>
      </w:r>
    </w:p>
    <w:bookmarkStart w:id="24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3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4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5"/>
        </w:numPr>
      </w:pPr>
      <w:r>
        <w:t xml:space="preserve">Conformance Adapter surface slots 1–4 bound to AAN evidence</w:t>
      </w:r>
    </w:p>
    <w:bookmarkEnd w:id="24"/>
    <w:bookmarkStart w:id="25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6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7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8"/>
        </w:numPr>
      </w:pPr>
      <w:r>
        <w:t xml:space="preserve">KSI-011–014 mapping confidence upgraded low → high (VER contract via Part 15 + slot-06)</w:t>
      </w:r>
    </w:p>
    <w:bookmarkEnd w:id="25"/>
    <w:bookmarkStart w:id="26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9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10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11"/>
        </w:numPr>
      </w:pPr>
      <w:r>
        <w:t xml:space="preserve">CR26 rules for SR/PM families (KSI-015 KSI-SCR-MIT + KSI-016 KSI-SCR-MON → active)</w:t>
      </w:r>
    </w:p>
    <w:bookmarkEnd w:id="26"/>
    <w:bookmarkStart w:id="27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2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3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4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7"/>
    <w:bookmarkStart w:id="28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5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6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7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9"/>
        </w:numPr>
      </w:pPr>
      <w:r>
        <w:t xml:space="preserve">All 10 KSI themes now have local-rule coverage (zero-gap themes: none)</w:t>
      </w:r>
    </w:p>
    <w:bookmarkEnd w:id="28"/>
    <w:bookmarkStart w:id="29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20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21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2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3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5"/>
        </w:numPr>
      </w:pPr>
      <w:r>
        <w:t xml:space="preserve">Book_00 Executive Summary updated to fifteen-book series</w:t>
      </w:r>
    </w:p>
    <w:bookmarkEnd w:id="29"/>
    <w:bookmarkStart w:id="30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6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7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8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30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31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2"/>
        </w:numPr>
      </w:pPr>
      <w:r>
        <w:t xml:space="preserve">Book_00 Executive Summary updated to sixteen-book series; Phase 6 roadmap added</w:t>
      </w:r>
    </w:p>
    <w:bookmarkEnd w:id="30"/>
    <w:bookmarkStart w:id="31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3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4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5"/>
        </w:numPr>
      </w:pPr>
      <w:r>
        <w:t xml:space="preserve">FedRAMP 20x ATO issued (all 29 KSI rules satisfied in AR)</w:t>
      </w:r>
    </w:p>
    <w:bookmarkEnd w:id="31"/>
    <w:bookmarkStart w:id="32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6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7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8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9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40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2026-07-07T19:17:17Z</dcterms:created>
  <dcterms:modified xsi:type="dcterms:W3CDTF">2026-07-07T19:17:17Z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