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X695a45eebfe4c34833a02b313a7982c9cc1b1e3"/>
    <w:p>
      <w:pPr>
        <w:pStyle w:val="Heading1"/>
      </w:pPr>
      <w:r>
        <w:t xml:space="preserve">Federal AAN — Governance &amp; Ownership Model (Adoption Artifact)</w:t>
      </w:r>
    </w:p>
    <w:p>
      <w:pPr>
        <w:pStyle w:val="FirstParagraph"/>
      </w:pPr>
      <w:r>
        <w:rPr>
          <w:b/>
          <w:bCs/>
        </w:rPr>
        <w:t xml:space="preserve">Internal CSI Team Working Document — Draft for SSA ratification</w:t>
      </w:r>
    </w:p>
    <w:p>
      <w:pPr>
        <w:pStyle w:val="BodyText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2026-07-07 15:05 ET</w:t>
      </w:r>
    </w:p>
    <w:p>
      <w:r>
        <w:pict>
          <v:rect style="width:0;height:1.5pt" o:hralign="center" o:hrstd="t" o:hr="t"/>
        </w:pict>
      </w:r>
    </w:p>
    <w:bookmarkStart w:id="9" w:name="purpose-and-status"/>
    <w:p>
      <w:pPr>
        <w:pStyle w:val="Heading2"/>
      </w:pPr>
      <w:r>
        <w:t xml:space="preserve">Purpose and Status</w:t>
      </w:r>
    </w:p>
    <w:p>
      <w:pPr>
        <w:pStyle w:val="FirstParagraph"/>
      </w:pPr>
      <w:r>
        <w:t xml:space="preserve">The AAN series deliberately describes</w:t>
      </w:r>
      <w:r>
        <w:t xml:space="preserve"> </w:t>
      </w:r>
      <w:r>
        <w:rPr>
          <w:b/>
          <w:bCs/>
        </w:rPr>
        <w:t xml:space="preserve">functions, not organizations</w:t>
      </w:r>
      <w:r>
        <w:t xml:space="preserve"> </w:t>
      </w:r>
      <w:r>
        <w:t xml:space="preserve">(series doctrine theme D): the books name no owners, because the</w:t>
      </w:r>
      <w:r>
        <w:t xml:space="preserve"> </w:t>
      </w:r>
      <w:r>
        <w:t xml:space="preserve">architectural facts are true regardless of how any agency’s org chart divides</w:t>
      </w:r>
      <w:r>
        <w:t xml:space="preserve"> </w:t>
      </w:r>
      <w:r>
        <w:t xml:space="preserve">them. Book 16 supplies the governance</w:t>
      </w:r>
      <w:r>
        <w:t xml:space="preserve"> </w:t>
      </w:r>
      <w:r>
        <w:rPr>
          <w:i/>
          <w:iCs/>
        </w:rPr>
        <w:t xml:space="preserve">templates</w:t>
      </w:r>
      <w:r>
        <w:t xml:space="preserve"> </w:t>
      </w:r>
      <w:r>
        <w:t xml:space="preserve">— the ISPP, the program</w:t>
      </w:r>
      <w:r>
        <w:t xml:space="preserve"> </w:t>
      </w:r>
      <w:r>
        <w:t xml:space="preserve">leadership RACI, the SCRM charter. What the series does not (and cannot)</w:t>
      </w:r>
      <w:r>
        <w:t xml:space="preserve"> </w:t>
      </w:r>
      <w:r>
        <w:t xml:space="preserve">supply is the</w:t>
      </w:r>
      <w:r>
        <w:t xml:space="preserve"> </w:t>
      </w:r>
      <w:r>
        <w:rPr>
          <w:b/>
          <w:bCs/>
        </w:rPr>
        <w:t xml:space="preserve">binding</w:t>
      </w:r>
      <w:r>
        <w:t xml:space="preserve">: which SSA component owns which plane, who decides</w:t>
      </w:r>
      <w:r>
        <w:t xml:space="preserve"> </w:t>
      </w:r>
      <w:r>
        <w:t xml:space="preserve">what, and what happens when an enforcement phase would break a field office.</w:t>
      </w:r>
    </w:p>
    <w:p>
      <w:pPr>
        <w:pStyle w:val="BodyText"/>
      </w:pPr>
      <w:r>
        <w:t xml:space="preserve">This document is that binding — the adoption artifact the SSA review</w:t>
      </w:r>
      <w:r>
        <w:t xml:space="preserve"> </w:t>
      </w:r>
      <w:r>
        <w:t xml:space="preserve">correctly identified as missing (</w:t>
      </w:r>
      <w:r>
        <w:t xml:space="preserve">“without governance clarity, any roadmap</w:t>
      </w:r>
      <w:r>
        <w:t xml:space="preserve"> </w:t>
      </w:r>
      <w:r>
        <w:t xml:space="preserve">cannot be adopted”</w:t>
      </w:r>
      <w:r>
        <w:t xml:space="preserve">). It is a</w:t>
      </w:r>
      <w:r>
        <w:t xml:space="preserve"> </w:t>
      </w:r>
      <w:r>
        <w:rPr>
          <w:b/>
          <w:bCs/>
        </w:rPr>
        <w:t xml:space="preserve">draft proposal</w:t>
      </w:r>
      <w:r>
        <w:t xml:space="preserve">: every assignment below is a</w:t>
      </w:r>
      <w:r>
        <w:t xml:space="preserve"> </w:t>
      </w:r>
      <w:r>
        <w:t xml:space="preserve">recommendation keyed to the component roles already named across the series,</w:t>
      </w:r>
      <w:r>
        <w:t xml:space="preserve"> </w:t>
      </w:r>
      <w:r>
        <w:t xml:space="preserve">pending ratification by the CIO Office and OIS. Roles are organizational</w:t>
      </w:r>
      <w:r>
        <w:t xml:space="preserve"> </w:t>
      </w:r>
      <w:r>
        <w:t xml:space="preserve">positions, never named individuals.</w:t>
      </w:r>
    </w:p>
    <w:p>
      <w:pPr>
        <w:pStyle w:val="BlockText"/>
      </w:pPr>
      <w:r>
        <w:rPr>
          <w:b/>
          <w:bCs/>
        </w:rPr>
        <w:t xml:space="preserve">The two-layer rule.</w:t>
      </w:r>
      <w:r>
        <w:t xml:space="preserve"> </w:t>
      </w:r>
      <w:r>
        <w:t xml:space="preserve">The series’ doctrine layer stays organization-free</w:t>
      </w:r>
      <w:r>
        <w:t xml:space="preserve"> </w:t>
      </w:r>
      <w:r>
        <w:t xml:space="preserve">so it survives reorganizations. This adoption layer binds doctrine to the</w:t>
      </w:r>
      <w:r>
        <w:t xml:space="preserve"> </w:t>
      </w:r>
      <w:r>
        <w:t xml:space="preserve">current org chart — and because Part 4 made the org chart</w:t>
      </w:r>
      <w:r>
        <w:t xml:space="preserve"> </w:t>
      </w:r>
      <w:r>
        <w:rPr>
          <w:i/>
          <w:iCs/>
        </w:rPr>
        <w:t xml:space="preserve">data</w:t>
      </w:r>
      <w:r>
        <w:t xml:space="preserve">, a</w:t>
      </w:r>
      <w:r>
        <w:t xml:space="preserve"> </w:t>
      </w:r>
      <w:r>
        <w:t xml:space="preserve">reorganization updates this document by re-derivation, not rewrite.</w:t>
      </w:r>
    </w:p>
    <w:p>
      <w:r>
        <w:pict>
          <v:rect style="width:0;height:1.5pt" o:hralign="center" o:hrstd="t" o:hr="t"/>
        </w:pict>
      </w:r>
    </w:p>
    <w:bookmarkEnd w:id="9"/>
    <w:bookmarkStart w:id="10" w:name="track-ownership-matrix"/>
    <w:p>
      <w:pPr>
        <w:pStyle w:val="Heading2"/>
      </w:pPr>
      <w:r>
        <w:t xml:space="preserve">1. Track Ownership Matrix</w:t>
      </w:r>
    </w:p>
    <w:p>
      <w:pPr>
        <w:pStyle w:val="FirstParagraph"/>
      </w:pPr>
      <w:r>
        <w:t xml:space="preserve">R = Responsible (executes) · A = Accountable (owns outcome, one per row) ·</w:t>
      </w:r>
      <w:r>
        <w:t xml:space="preserve"> </w:t>
      </w:r>
      <w:r>
        <w:t xml:space="preserve">C = Consulted · I = Informed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 (series part)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 / IPAM / DNS / PKI substrate (Part 1)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Network &amp; DNS Team</w:t>
            </w:r>
          </w:p>
        </w:tc>
        <w:tc>
          <w:tcPr/>
          <w:p>
            <w:pPr>
              <w:pStyle w:val="Compact"/>
            </w:pPr>
            <w:r>
              <w:t xml:space="preserve">OIS (DNSSEC key custody); Cloud Infra Teams</w:t>
            </w:r>
          </w:p>
        </w:tc>
        <w:tc>
          <w:tcPr/>
          <w:p>
            <w:pPr>
              <w:pStyle w:val="Compact"/>
            </w:pPr>
            <w:r>
              <w:t xml:space="preserve">SOC; Help 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 / 802.1X device identity (Part 2)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Network Infrastructure Team</w:t>
            </w:r>
          </w:p>
        </w:tc>
        <w:tc>
          <w:tcPr/>
          <w:p>
            <w:pPr>
              <w:pStyle w:val="Compact"/>
            </w:pPr>
            <w:r>
              <w:t xml:space="preserve">PKI Team; Endpoint Engineering (Intune)</w:t>
            </w:r>
          </w:p>
        </w:tc>
        <w:tc>
          <w:tcPr/>
          <w:p>
            <w:pPr>
              <w:pStyle w:val="Compact"/>
            </w:pPr>
            <w:r>
              <w:t xml:space="preserve">SOC; Facilities (port inventory)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 &amp; tokens (Part 3)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PKI Team</w:t>
            </w:r>
          </w:p>
        </w:tc>
        <w:tc>
          <w:tcPr/>
          <w:p>
            <w:pPr>
              <w:pStyle w:val="Compact"/>
            </w:pPr>
            <w:r>
              <w:t xml:space="preserve">Identity Engineering; Network &amp; DNS Team</w:t>
            </w:r>
          </w:p>
        </w:tc>
        <w:tc>
          <w:tcPr/>
          <w:p>
            <w:pPr>
              <w:pStyle w:val="Compact"/>
            </w:pPr>
            <w:r>
              <w:t xml:space="preserve">Application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HRIT identity &amp; org SSOT (Part 4)</w:t>
            </w:r>
          </w:p>
        </w:tc>
        <w:tc>
          <w:tcPr/>
          <w:p>
            <w:pPr>
              <w:pStyle w:val="Compact"/>
            </w:pPr>
            <w:r>
              <w:t xml:space="preserve">CIO Office (data ownership: HR)</w:t>
            </w:r>
          </w:p>
        </w:tc>
        <w:tc>
          <w:tcPr/>
          <w:p>
            <w:pPr>
              <w:pStyle w:val="Compact"/>
            </w:pPr>
            <w:r>
              <w:t xml:space="preserve">Identity Engineering</w:t>
            </w:r>
          </w:p>
        </w:tc>
        <w:tc>
          <w:tcPr/>
          <w:p>
            <w:pPr>
              <w:pStyle w:val="Compact"/>
            </w:pPr>
            <w:r>
              <w:t xml:space="preserve">HR / OPM integration office; OIS</w:t>
            </w:r>
          </w:p>
        </w:tc>
        <w:tc>
          <w:tcPr/>
          <w:p>
            <w:pPr>
              <w:pStyle w:val="Compact"/>
            </w:pPr>
            <w:r>
              <w:t xml:space="preserve">All downstream app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identity modernization (Part 5)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CSI Team</w:t>
            </w:r>
          </w:p>
        </w:tc>
        <w:tc>
          <w:tcPr/>
          <w:p>
            <w:pPr>
              <w:pStyle w:val="Compact"/>
            </w:pPr>
            <w:r>
              <w:t xml:space="preserve">OIS; Network Infrastructure; Identity Engineering</w:t>
            </w:r>
          </w:p>
        </w:tc>
        <w:tc>
          <w:tcPr/>
          <w:p>
            <w:pPr>
              <w:pStyle w:val="Compact"/>
            </w:pPr>
            <w:r>
              <w:t xml:space="preserve">Regional IT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 modernization / TIC 3.0 (Part 6)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Network Infrastructure Team</w:t>
            </w:r>
          </w:p>
        </w:tc>
        <w:tc>
          <w:tcPr/>
          <w:p>
            <w:pPr>
              <w:pStyle w:val="Compact"/>
            </w:pPr>
            <w:r>
              <w:t xml:space="preserve">OIS (TIC posture); carrier/contract office</w:t>
            </w:r>
          </w:p>
        </w:tc>
        <w:tc>
          <w:tcPr/>
          <w:p>
            <w:pPr>
              <w:pStyle w:val="Compact"/>
            </w:pPr>
            <w:r>
              <w:t xml:space="preserve">Field office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auth modernization (Parts 7–8)</w:t>
            </w:r>
          </w:p>
        </w:tc>
        <w:tc>
          <w:tcPr/>
          <w:p>
            <w:pPr>
              <w:pStyle w:val="Compact"/>
            </w:pPr>
            <w:r>
              <w:t xml:space="preserve">Application portfolio owner</w:t>
            </w:r>
          </w:p>
        </w:tc>
        <w:tc>
          <w:tcPr/>
          <w:p>
            <w:pPr>
              <w:pStyle w:val="Compact"/>
            </w:pPr>
            <w:r>
              <w:t xml:space="preserve">Database Engineering</w:t>
            </w:r>
          </w:p>
        </w:tc>
        <w:tc>
          <w:tcPr/>
          <w:p>
            <w:pPr>
              <w:pStyle w:val="Compact"/>
            </w:pPr>
            <w:r>
              <w:t xml:space="preserve">Identity Engineering; OIS</w:t>
            </w:r>
          </w:p>
        </w:tc>
        <w:tc>
          <w:tcPr/>
          <w:p>
            <w:pPr>
              <w:pStyle w:val="Compact"/>
            </w:pPr>
            <w:r>
              <w:t xml:space="preserve">Application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consolidation (Part 9)</w:t>
            </w:r>
          </w:p>
        </w:tc>
        <w:tc>
          <w:tcPr/>
          <w:p>
            <w:pPr>
              <w:pStyle w:val="Compact"/>
            </w:pPr>
            <w:r>
              <w:t xml:space="preserve">Application portfolio owner</w:t>
            </w:r>
          </w:p>
        </w:tc>
        <w:tc>
          <w:tcPr/>
          <w:p>
            <w:pPr>
              <w:pStyle w:val="Compact"/>
            </w:pPr>
            <w:r>
              <w:t xml:space="preserve">Database Engineering</w:t>
            </w:r>
          </w:p>
        </w:tc>
        <w:tc>
          <w:tcPr/>
          <w:p>
            <w:pPr>
              <w:pStyle w:val="Compact"/>
            </w:pPr>
            <w:r>
              <w:t xml:space="preserve">Network Infrastructure (physics/QoS)</w:t>
            </w:r>
          </w:p>
        </w:tc>
        <w:tc>
          <w:tcPr/>
          <w:p>
            <w:pPr>
              <w:pStyle w:val="Compact"/>
            </w:pPr>
            <w:r>
              <w:t xml:space="preserve">Regional data stewards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access management (Part 10)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Identity Engineering</w:t>
            </w:r>
          </w:p>
        </w:tc>
        <w:tc>
          <w:tcPr/>
          <w:p>
            <w:pPr>
              <w:pStyle w:val="Compact"/>
            </w:pPr>
            <w:r>
              <w:t xml:space="preserve">SOC; all Tier-0 platform teams</w:t>
            </w:r>
          </w:p>
        </w:tc>
        <w:tc>
          <w:tcPr/>
          <w:p>
            <w:pPr>
              <w:pStyle w:val="Compact"/>
            </w:pPr>
            <w:r>
              <w:t xml:space="preserve">Audit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 / BOD 26-04 (Part 11)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SOC / Vulnerability Mgmt Team</w:t>
            </w:r>
          </w:p>
        </w:tc>
        <w:tc>
          <w:tcPr/>
          <w:p>
            <w:pPr>
              <w:pStyle w:val="Compact"/>
            </w:pPr>
            <w:r>
              <w:t xml:space="preserve">Platform teams (remediation); CSI Team</w:t>
            </w:r>
          </w:p>
        </w:tc>
        <w:tc>
          <w:tcPr/>
          <w:p>
            <w:pPr>
              <w:pStyle w:val="Compact"/>
            </w:pPr>
            <w:r>
              <w:t xml:space="preserve">AO; CIO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/ Purview (Part 12)</w:t>
            </w:r>
          </w:p>
        </w:tc>
        <w:tc>
          <w:tcPr/>
          <w:p>
            <w:pPr>
              <w:pStyle w:val="Compact"/>
            </w:pPr>
            <w:r>
              <w:t xml:space="preserve">Data governance office</w:t>
            </w:r>
          </w:p>
        </w:tc>
        <w:tc>
          <w:tcPr/>
          <w:p>
            <w:pPr>
              <w:pStyle w:val="Compact"/>
            </w:pPr>
            <w:r>
              <w:t xml:space="preserve">Endpoint &amp; Collaboration Engineering</w:t>
            </w:r>
          </w:p>
        </w:tc>
        <w:tc>
          <w:tcPr/>
          <w:p>
            <w:pPr>
              <w:pStyle w:val="Compact"/>
            </w:pPr>
            <w:r>
              <w:t xml:space="preserve">OIS; Records Officer</w:t>
            </w:r>
          </w:p>
        </w:tc>
        <w:tc>
          <w:tcPr/>
          <w:p>
            <w:pPr>
              <w:pStyle w:val="Compact"/>
            </w:pPr>
            <w:r>
              <w:t xml:space="preserve">Business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XDR / detection (Part 13)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All evidence-producing platform teams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(Part 14)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CSI Team + platform teams</w:t>
            </w:r>
          </w:p>
        </w:tc>
        <w:tc>
          <w:tcPr/>
          <w:p>
            <w:pPr>
              <w:pStyle w:val="Compact"/>
            </w:pPr>
            <w:r>
              <w:t xml:space="preserve">OIS; Facilities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SCRM / SBOM / VDR (Part 15)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CSI Team (pipeline); Acquisition (vendor side)</w:t>
            </w:r>
          </w:p>
        </w:tc>
        <w:tc>
          <w:tcPr/>
          <w:p>
            <w:pPr>
              <w:pStyle w:val="Compact"/>
            </w:pPr>
            <w:r>
              <w:t xml:space="preserve">Legal; contract office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governance (Part 16)</w:t>
            </w:r>
          </w:p>
        </w:tc>
        <w:tc>
          <w:tcPr/>
          <w:p>
            <w:pPr>
              <w:pStyle w:val="Compact"/>
            </w:pPr>
            <w:r>
              <w:t xml:space="preserve">SAISO/CISO</w:t>
            </w:r>
          </w:p>
        </w:tc>
        <w:tc>
          <w:tcPr/>
          <w:p>
            <w:pPr>
              <w:pStyle w:val="Compact"/>
            </w:pPr>
            <w:r>
              <w:t xml:space="preserve">Security PMO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All track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processing &amp; transparency (Part 17)</w:t>
            </w:r>
          </w:p>
        </w:tc>
        <w:tc>
          <w:tcPr/>
          <w:p>
            <w:pPr>
              <w:pStyle w:val="Compact"/>
            </w:pPr>
            <w:r>
              <w:t xml:space="preserve">Senior Agency Official for Privacy</w:t>
            </w:r>
          </w:p>
        </w:tc>
        <w:tc>
          <w:tcPr/>
          <w:p>
            <w:pPr>
              <w:pStyle w:val="Compact"/>
            </w:pPr>
            <w:r>
              <w:t xml:space="preserve">Privacy Office</w:t>
            </w:r>
          </w:p>
        </w:tc>
        <w:tc>
          <w:tcPr/>
          <w:p>
            <w:pPr>
              <w:pStyle w:val="Compact"/>
            </w:pPr>
            <w:r>
              <w:t xml:space="preserve">Data governance; OIS</w:t>
            </w:r>
          </w:p>
        </w:tc>
        <w:tc>
          <w:tcPr/>
          <w:p>
            <w:pPr>
              <w:pStyle w:val="Compact"/>
            </w:pPr>
            <w:r>
              <w:t xml:space="preserve">Business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awareness (Part 18)</w:t>
            </w:r>
          </w:p>
        </w:tc>
        <w:tc>
          <w:tcPr/>
          <w:p>
            <w:pPr>
              <w:pStyle w:val="Compact"/>
            </w:pPr>
            <w:r>
              <w:t xml:space="preserve">SAISO/CISO</w:t>
            </w:r>
          </w:p>
        </w:tc>
        <w:tc>
          <w:tcPr/>
          <w:p>
            <w:pPr>
              <w:pStyle w:val="Compact"/>
            </w:pPr>
            <w:r>
              <w:t xml:space="preserve">Security Training Office</w:t>
            </w:r>
          </w:p>
        </w:tc>
        <w:tc>
          <w:tcPr/>
          <w:p>
            <w:pPr>
              <w:pStyle w:val="Compact"/>
            </w:pPr>
            <w:r>
              <w:t xml:space="preserve">HR (LMS); SOC (IR drills)</w:t>
            </w:r>
          </w:p>
        </w:tc>
        <w:tc>
          <w:tcPr/>
          <w:p>
            <w:pPr>
              <w:pStyle w:val="Compac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package &amp; ConMon (Part 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Authorizing Official</w:t>
            </w:r>
          </w:p>
        </w:tc>
        <w:tc>
          <w:tcPr/>
          <w:p>
            <w:pPr>
              <w:pStyle w:val="Compact"/>
            </w:pPr>
            <w:r>
              <w:t xml:space="preserve">CSI Team (evidence); ISSO</w:t>
            </w:r>
          </w:p>
        </w:tc>
        <w:tc>
          <w:tcPr/>
          <w:p>
            <w:pPr>
              <w:pStyle w:val="Compact"/>
            </w:pPr>
            <w:r>
              <w:t xml:space="preserve">OIS; 3PAO (when engaged)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One-per-row accountability is the point.</w:t>
      </w:r>
      <w:r>
        <w:t xml:space="preserve"> </w:t>
      </w:r>
      <w:r>
        <w:t xml:space="preserve">The review found the agency</w:t>
      </w:r>
      <w:r>
        <w:t xml:space="preserve"> </w:t>
      </w:r>
      <w:r>
        <w:t xml:space="preserve">“repeatedly asking who owns Zero Trust, SCuBA, and compliance.”</w:t>
      </w:r>
      <w:r>
        <w:t xml:space="preserve"> </w:t>
      </w:r>
      <w:r>
        <w:t xml:space="preserve">Zero Trust</w:t>
      </w:r>
      <w:r>
        <w:t xml:space="preserve"> </w:t>
      </w:r>
      <w:r>
        <w:t xml:space="preserve">is not a row because it is not a track — it is the doctrine every row</w:t>
      </w:r>
      <w:r>
        <w:t xml:space="preserve"> </w:t>
      </w:r>
      <w:r>
        <w:t xml:space="preserve">implements. SCuBA ownership = the Part 11/13 rows’ A (OIS) with the CSI Team</w:t>
      </w:r>
      <w:r>
        <w:t xml:space="preserve"> </w:t>
      </w:r>
      <w:r>
        <w:t xml:space="preserve">R for the ScubaDrift pipeline. Compliance ownership = the Part 19 row: the</w:t>
      </w:r>
      <w:r>
        <w:t xml:space="preserve"> </w:t>
      </w:r>
      <w:r>
        <w:t xml:space="preserve">AO is accountable; everyone else produces evidence.</w:t>
      </w:r>
    </w:p>
    <w:p>
      <w:r>
        <w:pict>
          <v:rect style="width:0;height:1.5pt" o:hralign="center" o:hrstd="t" o:hr="t"/>
        </w:pict>
      </w:r>
    </w:p>
    <w:bookmarkEnd w:id="10"/>
    <w:bookmarkStart w:id="11" w:name="decision-rights-register"/>
    <w:p>
      <w:pPr>
        <w:pStyle w:val="Heading2"/>
      </w:pPr>
      <w:r>
        <w:t xml:space="preserve">2. Decision-Rights Register</w:t>
      </w:r>
    </w:p>
    <w:p>
      <w:pPr>
        <w:pStyle w:val="FirstParagraph"/>
      </w:pPr>
      <w:r>
        <w:t xml:space="preserve">Standing decisions the series has explicitly deferred to governance, each</w:t>
      </w:r>
      <w:r>
        <w:t xml:space="preserve"> </w:t>
      </w:r>
      <w:r>
        <w:t xml:space="preserve">with exactly one decision owner: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Owner (decides)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DDI deployment path — Path A (BloxOne SaaS, inherited ATO) vs. Path B (agency-operated NIOS Grid)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OIS; Network &amp; DNS Team</w:t>
            </w:r>
          </w:p>
        </w:tc>
        <w:tc>
          <w:tcPr/>
          <w:p>
            <w:pPr>
              <w:pStyle w:val="Compact"/>
            </w:pPr>
            <w:r>
              <w:t xml:space="preserve">One-time, then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Grid Admin accountability model (full-authority DDI role: MFA + PAW + holder)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One-time + annual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RADIUS platform — NPS HA vs. ISE vs. ClearPass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OIS; Network Infrastructure</w:t>
            </w:r>
          </w:p>
        </w:tc>
        <w:tc>
          <w:tcPr/>
          <w:p>
            <w:pPr>
              <w:pStyle w:val="Compact"/>
            </w:pPr>
            <w:r>
              <w:t xml:space="preserve">One-time, then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NAC hostname-to-certificate binding design (Books 01/02/03 compound guarantee)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PKI; Network &amp; DNS; Identity Engineering</w:t>
            </w:r>
          </w:p>
        </w:tc>
        <w:tc>
          <w:tcPr/>
          <w:p>
            <w:pPr>
              <w:pStyle w:val="Compact"/>
            </w:pPr>
            <w:r>
              <w:t xml:space="preserve">One-time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SD-WAN Manager hosting — self-hosted GovCloud vs. vendor SaaS (boundary consequences)</w:t>
            </w:r>
          </w:p>
        </w:tc>
        <w:tc>
          <w:tcPr/>
          <w:p>
            <w:pPr>
              <w:pStyle w:val="Compact"/>
            </w:pPr>
            <w:r>
              <w:t xml:space="preserve">AO (boundary) + CIO Infrastructure (platform)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One-time, then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TIC 3.0 Use Case E posture — branch stack composition; Optimize-only proxy exemption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Network Infrastructure; CIO Office</w:t>
            </w:r>
          </w:p>
        </w:tc>
        <w:tc>
          <w:tcPr/>
          <w:p>
            <w:pPr>
              <w:pStyle w:val="Compact"/>
            </w:pPr>
            <w:r>
              <w:t xml:space="preserve">One-time + re-validated per TIC catalog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Attribute authority map sign-off (Part 4 Phase 1 gate)</w:t>
            </w:r>
          </w:p>
        </w:tc>
        <w:tc>
          <w:tcPr/>
          <w:p>
            <w:pPr>
              <w:pStyle w:val="Compact"/>
            </w:pPr>
            <w:r>
              <w:t xml:space="preserve">CIO Office + HR data owner jointly</w:t>
            </w:r>
          </w:p>
        </w:tc>
        <w:tc>
          <w:tcPr/>
          <w:p>
            <w:pPr>
              <w:pStyle w:val="Compact"/>
            </w:pPr>
            <w:r>
              <w:t xml:space="preserve">OIS; Identity Engineering</w:t>
            </w:r>
          </w:p>
        </w:tc>
        <w:tc>
          <w:tcPr/>
          <w:p>
            <w:pPr>
              <w:pStyle w:val="Compact"/>
            </w:pPr>
            <w:r>
              <w:t xml:space="preserve">One-time + per-attribute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Leaver-automation go-live date + separation-to-revocation target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HR; Identity Engineering</w:t>
            </w:r>
          </w:p>
        </w:tc>
        <w:tc>
          <w:tcPr/>
          <w:p>
            <w:pPr>
              <w:pStyle w:val="Compact"/>
            </w:pPr>
            <w:r>
              <w:t xml:space="preserve">One-time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Gated-actuation approvals (Advanced maturity: human approves each corrective action)</w:t>
            </w:r>
          </w:p>
        </w:tc>
        <w:tc>
          <w:tcPr/>
          <w:p>
            <w:pPr>
              <w:pStyle w:val="Compact"/>
            </w:pPr>
            <w:r>
              <w:t xml:space="preserve">Per-plane R from §1</w:t>
            </w:r>
          </w:p>
        </w:tc>
        <w:tc>
          <w:tcPr/>
          <w:p>
            <w:pPr>
              <w:pStyle w:val="Compact"/>
            </w:pPr>
            <w:r>
              <w:t xml:space="preserve">OIS standing guidance</w:t>
            </w:r>
          </w:p>
        </w:tc>
        <w:tc>
          <w:tcPr/>
          <w:p>
            <w:pPr>
              <w:pStyle w:val="Compact"/>
            </w:pPr>
            <w:r>
              <w:t xml:space="preserve">Standing, per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MAB exceptions (device classes exempt from 802.1X)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Network Infrastructure; asset owner</w:t>
            </w:r>
          </w:p>
        </w:tc>
        <w:tc>
          <w:tcPr/>
          <w:p>
            <w:pPr>
              <w:pStyle w:val="Compact"/>
            </w:pPr>
            <w:r>
              <w:t xml:space="preserve">Standing, per exception, 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Governed-exception acceptance in ScubaDrift dispositions (with expiry)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SOC; CSI Team</w:t>
            </w:r>
          </w:p>
        </w:tc>
        <w:tc>
          <w:tcPr/>
          <w:p>
            <w:pPr>
              <w:pStyle w:val="Compact"/>
            </w:pPr>
            <w:r>
              <w:t xml:space="preserve">Standing, per exception, 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Boundary-variance escalation (gap register shows non-compensable gap)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OIS; CIO Office</w:t>
            </w:r>
          </w:p>
        </w:tc>
        <w:tc>
          <w:tcPr/>
          <w:p>
            <w:pPr>
              <w:pStyle w:val="Compact"/>
            </w:pPr>
            <w:r>
              <w:t xml:space="preserve">Standing trigger,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FedRAMP 20x package submission (Phase 7)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CIO Office; OIS; CSI Team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Vendor substitution within a mechanism class (per the alternatives matrix)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OIS; track A/R; acquisition</w:t>
            </w:r>
          </w:p>
        </w:tc>
        <w:tc>
          <w:tcPr/>
          <w:p>
            <w:pPr>
              <w:pStyle w:val="Compact"/>
            </w:pPr>
            <w:r>
              <w:t xml:space="preserve">Per procurement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6862e93eae79a612cac341ba54fee2fa50d42d"/>
    <w:p>
      <w:pPr>
        <w:pStyle w:val="Heading2"/>
      </w:pPr>
      <w:r>
        <w:t xml:space="preserve">3. Enforcement Go / No-Go Criteria — Field Offices and Telework</w:t>
      </w:r>
    </w:p>
    <w:p>
      <w:pPr>
        <w:pStyle w:val="FirstParagraph"/>
      </w:pPr>
      <w:r>
        <w:t xml:space="preserve">The review flagged the absence of</w:t>
      </w:r>
      <w:r>
        <w:t xml:space="preserve"> </w:t>
      </w:r>
      <w:r>
        <w:t xml:space="preserve">“no-go criteria.”</w:t>
      </w:r>
      <w:r>
        <w:t xml:space="preserve"> </w:t>
      </w:r>
      <w:r>
        <w:t xml:space="preserve">The series’ phased</w:t>
      </w:r>
      <w:r>
        <w:t xml:space="preserve"> </w:t>
      </w:r>
      <w:r>
        <w:t xml:space="preserve">rollouts (Books 02, 03, 04, 05) all share the same shape — monitor before</w:t>
      </w:r>
      <w:r>
        <w:t xml:space="preserve"> </w:t>
      </w:r>
      <w:r>
        <w:t xml:space="preserve">enforce — and these are the gates that stop an enforcement phase from</w:t>
      </w:r>
      <w:r>
        <w:t xml:space="preserve"> </w:t>
      </w:r>
      <w:r>
        <w:t xml:space="preserve">breaking mission delivery:</w:t>
      </w:r>
    </w:p>
    <w:p>
      <w:pPr>
        <w:pStyle w:val="BodyText"/>
      </w:pPr>
      <w:r>
        <w:rPr>
          <w:b/>
          <w:bCs/>
        </w:rPr>
        <w:t xml:space="preserve">No enforcement phase proceeds at a site while any of the following holds: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incomplete</w:t>
      </w:r>
      <w:r>
        <w:t xml:space="preserve"> </w:t>
      </w:r>
      <w:r>
        <w:t xml:space="preserve">— the monitor-mode report (NAC Phase 1, cert</w:t>
      </w:r>
      <w:r>
        <w:t xml:space="preserve"> </w:t>
      </w:r>
      <w:r>
        <w:t xml:space="preserve">estate discovery, provisioning shadow mode) still shows unexplained</w:t>
      </w:r>
      <w:r>
        <w:t xml:space="preserve"> </w:t>
      </w:r>
      <w:r>
        <w:t xml:space="preserve">entries for that site’s population.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Exception backlog open</w:t>
      </w:r>
      <w:r>
        <w:t xml:space="preserve"> </w:t>
      </w:r>
      <w:r>
        <w:t xml:space="preserve">— devices/apps at the site require MAB or</w:t>
      </w:r>
      <w:r>
        <w:t xml:space="preserve"> </w:t>
      </w:r>
      <w:r>
        <w:t xml:space="preserve">legacy-auth exceptions that are identified but not yet registered with</w:t>
      </w:r>
      <w:r>
        <w:t xml:space="preserve"> </w:t>
      </w:r>
      <w:r>
        <w:t xml:space="preserve">expiry 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same-day rollback</w:t>
      </w:r>
      <w:r>
        <w:t xml:space="preserve"> </w:t>
      </w:r>
      <w:r>
        <w:t xml:space="preserve">— the site cannot be returned to pre-enforcement</w:t>
      </w:r>
      <w:r>
        <w:t xml:space="preserve"> </w:t>
      </w:r>
      <w:r>
        <w:t xml:space="preserve">state within one business day (port config revert, CA report-only</w:t>
      </w:r>
      <w:r>
        <w:t xml:space="preserve"> </w:t>
      </w:r>
      <w:r>
        <w:t xml:space="preserve">fallback, provisioning pause).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 Desk unbriefed</w:t>
      </w:r>
      <w:r>
        <w:t xml:space="preserve"> </w:t>
      </w:r>
      <w:r>
        <w:t xml:space="preserve">— the site-facing support tier has not received</w:t>
      </w:r>
      <w:r>
        <w:t xml:space="preserve"> </w:t>
      </w:r>
      <w:r>
        <w:t xml:space="preserve">the enforcement-phase playbook (quarantine captive portal, remediation</w:t>
      </w:r>
      <w:r>
        <w:t xml:space="preserve"> </w:t>
      </w:r>
      <w:r>
        <w:t xml:space="preserve">VLAN self-heal, token re-auth guidance).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Telework parity untested</w:t>
      </w:r>
      <w:r>
        <w:t xml:space="preserve"> </w:t>
      </w:r>
      <w:r>
        <w:t xml:space="preserve">— for identity/token phases: the remote</w:t>
      </w:r>
      <w:r>
        <w:t xml:space="preserve"> </w:t>
      </w:r>
      <w:r>
        <w:t xml:space="preserve">worker path (VPN-less ZTNA or CA-gated access) has not been validated for</w:t>
      </w:r>
      <w:r>
        <w:t xml:space="preserve"> </w:t>
      </w:r>
      <w:r>
        <w:t xml:space="preserve">that population; a control that only works on-premises is a regression</w:t>
      </w:r>
      <w:r>
        <w:t xml:space="preserve"> </w:t>
      </w:r>
      <w:r>
        <w:t xml:space="preserve">for a hybrid workforce.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Peak-period freeze</w:t>
      </w:r>
      <w:r>
        <w:t xml:space="preserve"> </w:t>
      </w:r>
      <w:r>
        <w:t xml:space="preserve">— no enforcement cutover inside an agency</w:t>
      </w:r>
      <w:r>
        <w:t xml:space="preserve"> </w:t>
      </w:r>
      <w:r>
        <w:t xml:space="preserve">filing/benefit peak window as published by the CIO Office.</w:t>
      </w:r>
    </w:p>
    <w:p>
      <w:pPr>
        <w:pStyle w:val="FirstParagraph"/>
      </w:pPr>
      <w:r>
        <w:rPr>
          <w:b/>
          <w:bCs/>
        </w:rPr>
        <w:t xml:space="preserve">Go requires:</w:t>
      </w:r>
      <w:r>
        <w:t xml:space="preserve"> </w:t>
      </w:r>
      <w:r>
        <w:t xml:space="preserve">baseline explained + exceptions registered with expiry +</w:t>
      </w:r>
      <w:r>
        <w:t xml:space="preserve"> </w:t>
      </w:r>
      <w:r>
        <w:t xml:space="preserve">rollback rehearsed + support briefed + telework path validated + freeze</w:t>
      </w:r>
      <w:r>
        <w:t xml:space="preserve"> </w:t>
      </w:r>
      <w:r>
        <w:t xml:space="preserve">window clear — recorded as a dated gate decision by the track’s Accountable</w:t>
      </w:r>
      <w:r>
        <w:t xml:space="preserve"> </w:t>
      </w:r>
      <w:r>
        <w:t xml:space="preserve">owner (§1) with OIS concurrence.</w:t>
      </w:r>
    </w:p>
    <w:p>
      <w:r>
        <w:pict>
          <v:rect style="width:0;height:1.5pt" o:hralign="center" o:hrstd="t" o:hr="t"/>
        </w:pict>
      </w:r>
    </w:p>
    <w:bookmarkEnd w:id="12"/>
    <w:bookmarkStart w:id="13" w:name="review-cadence"/>
    <w:p>
      <w:pPr>
        <w:pStyle w:val="Heading2"/>
      </w:pPr>
      <w:r>
        <w:t xml:space="preserve">4. Review Cadence</w:t>
      </w:r>
    </w:p>
    <w:p>
      <w:pPr>
        <w:pStyle w:val="FirstParagraph"/>
      </w:pPr>
      <w:r>
        <w:t xml:space="preserve">This document rides the Book 19 ConMon cadence: §1 ownership reviewed</w:t>
      </w:r>
      <w:r>
        <w:t xml:space="preserve"> </w:t>
      </w:r>
      <w:r>
        <w:t xml:space="preserve">annually (or on reorganization — a data change per Part 4); §2 standing</w:t>
      </w:r>
      <w:r>
        <w:t xml:space="preserve"> </w:t>
      </w:r>
      <w:r>
        <w:t xml:space="preserve">decisions (D9–D12) reviewed quarterly with the POA&amp;M; §3 gate decisions</w:t>
      </w:r>
      <w:r>
        <w:t xml:space="preserve"> </w:t>
      </w:r>
      <w:r>
        <w:t xml:space="preserve">recorded per enforcement phase and retained as authorization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Internal CSI Team working artifact — draft pending CIO Office / OIS</w:t>
      </w:r>
      <w:r>
        <w:rPr>
          <w:i/>
          <w:iCs/>
        </w:rPr>
        <w:t xml:space="preserve"> </w:t>
      </w:r>
      <w:r>
        <w:rPr>
          <w:i/>
          <w:iCs/>
        </w:rPr>
        <w:t xml:space="preserve">ratification. Component names reflect the roles used throughout the AAN</w:t>
      </w:r>
      <w:r>
        <w:rPr>
          <w:i/>
          <w:iCs/>
        </w:rPr>
        <w:t xml:space="preserve"> </w:t>
      </w:r>
      <w:r>
        <w:rPr>
          <w:i/>
          <w:iCs/>
        </w:rPr>
        <w:t xml:space="preserve">series; the CIO Office maps them to current organizational designations at</w:t>
      </w:r>
      <w:r>
        <w:rPr>
          <w:i/>
          <w:iCs/>
        </w:rPr>
        <w:t xml:space="preserve"> </w:t>
      </w:r>
      <w:r>
        <w:rPr>
          <w:i/>
          <w:iCs/>
        </w:rPr>
        <w:t xml:space="preserve">ratification.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2026-07-07T19:04:15Z</dcterms:created>
  <dcterms:modified xsi:type="dcterms:W3CDTF">2026-07-07T19:04:15Z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