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Management</w:t>
      </w:r>
      <w:r>
        <w:t xml:space="preserve"> </w:t>
      </w:r>
      <w:r>
        <w:t xml:space="preserve">Stack</w:t>
      </w:r>
    </w:p>
    <w:bookmarkStart w:id="22" w:name="uiao-management-stack"/>
    <w:p>
      <w:pPr>
        <w:pStyle w:val="Heading1"/>
      </w:pPr>
      <w:r>
        <w:t xml:space="preserve">UIAO Management Stack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The UIAO Management Stack defines the FedRAMP-authorized platforms that provide incident lifecycle management, endpoint configuration enforcement, and continuous authorization support. These platforms operate alongside the core UIAO vendor stack (Cisco, Infoblox, Microsoft Identity) to deliver a complete operational management capability.</w:t>
      </w:r>
    </w:p>
    <w:p>
      <w:pPr>
        <w:pStyle w:val="BodyText"/>
      </w:pPr>
      <w:r>
        <w:t xml:space="preserve">The following diagram shows how the management stack integrates with the broader UIAO architecture through the telemetry and identity planes.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1" w:name="vendor-logic-processing"/>
    <w:p>
      <w:pPr>
        <w:pStyle w:val="Heading2"/>
      </w:pPr>
      <w:r>
        <w:t xml:space="preserve">4. Vendor Logic Processing</w:t>
      </w:r>
    </w:p>
    <w:p>
      <w:pPr>
        <w:pStyle w:val="FirstParagraph"/>
      </w:pPr>
      <w:r>
        <w:t xml:space="preserve">The following diagram illustrates how the UIAO data layer processes management stack configurations through the Jinja2 rendering pipeline to produce vendor-specific outputs.</w:t>
      </w:r>
    </w:p>
    <w:p>
      <w:pPr>
        <w:pStyle w:val="BodyText"/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— Management Stack v1.0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Management Stack</dc:title>
  <dc:creator/>
  <cp:keywords/>
  <dcterms:created xsi:type="dcterms:W3CDTF">2026-04-06T11:34:10Z</dcterms:created>
  <dcterms:modified xsi:type="dcterms:W3CDTF">2026-04-06T11:34:10Z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