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a4f43224da4ceff5ab1e19aaf68a956f5bb047"/>
    <w:p>
      <w:pPr>
        <w:pStyle w:val="Heading1"/>
      </w:pPr>
      <w:r>
        <w:t xml:space="preserve">Unified Identity-Addressing-Overlay Architecture - Unified Architecture</w:t>
      </w:r>
    </w:p>
    <w:p>
      <w:pPr>
        <w:pStyle w:val="FirstParagraph"/>
      </w:pPr>
      <w:r>
        <w:t xml:space="preserve">The architecture is composed of five interlocking control planes.</w:t>
      </w:r>
    </w:p>
    <w:p>
      <w:r>
        <w:pict>
          <v:rect style="width:0;height:1.5pt" o:hralign="center" o:hrstd="t" o:hr="t"/>
        </w:pict>
      </w:r>
    </w:p>
    <w:bookmarkStart w:id="20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1"/>
        </w:numPr>
      </w:pPr>
      <w:r>
        <w:t xml:space="preserve">Entra ID</w:t>
      </w:r>
    </w:p>
    <w:p>
      <w:pPr>
        <w:numPr>
          <w:ilvl w:val="0"/>
          <w:numId w:val="1001"/>
        </w:numPr>
      </w:pPr>
      <w:r>
        <w:t xml:space="preserve">ICAM governance</w:t>
      </w:r>
    </w:p>
    <w:p>
      <w:pPr>
        <w:numPr>
          <w:ilvl w:val="0"/>
          <w:numId w:val="1001"/>
        </w:numPr>
      </w:pPr>
      <w:r>
        <w:t xml:space="preserve">Conditional Access</w:t>
      </w:r>
    </w:p>
    <w:p>
      <w:pPr>
        <w:numPr>
          <w:ilvl w:val="0"/>
          <w:numId w:val="1001"/>
        </w:numPr>
      </w:pPr>
      <w:r>
        <w:t xml:space="preserve">PIM</w:t>
      </w:r>
    </w:p>
    <w:p>
      <w:pPr>
        <w:numPr>
          <w:ilvl w:val="0"/>
          <w:numId w:val="1001"/>
        </w:numPr>
      </w:pPr>
      <w:r>
        <w:t xml:space="preserve">Lifecycle automation</w:t>
      </w:r>
    </w:p>
    <w:p>
      <w:r>
        <w:pict>
          <v:rect style="width:0;height:1.5pt" o:hralign="center" o:hrstd="t" o:hr="t"/>
        </w:pict>
      </w:r>
    </w:p>
    <w:bookmarkEnd w:id="20"/>
    <w:bookmarkStart w:id="21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2"/>
        </w:numPr>
      </w:pPr>
      <w:r>
        <w:t xml:space="preserve">Cisco Catalyst SD-WAN</w:t>
      </w:r>
    </w:p>
    <w:p>
      <w:pPr>
        <w:numPr>
          <w:ilvl w:val="0"/>
          <w:numId w:val="1002"/>
        </w:numPr>
      </w:pPr>
      <w:r>
        <w:t xml:space="preserve">Cloud OnRamp for M365</w:t>
      </w:r>
    </w:p>
    <w:p>
      <w:pPr>
        <w:numPr>
          <w:ilvl w:val="0"/>
          <w:numId w:val="1002"/>
        </w:numPr>
      </w:pPr>
      <w:r>
        <w:t xml:space="preserve">INR integration</w:t>
      </w:r>
    </w:p>
    <w:p>
      <w:pPr>
        <w:numPr>
          <w:ilvl w:val="0"/>
          <w:numId w:val="1002"/>
        </w:numPr>
      </w:pPr>
      <w:r>
        <w:t xml:space="preserve">Zero Trust segmentation</w:t>
      </w:r>
    </w:p>
    <w:p>
      <w:r>
        <w:pict>
          <v:rect style="width:0;height:1.5pt" o:hralign="center" o:hrstd="t" o:hr="t"/>
        </w:pict>
      </w:r>
    </w:p>
    <w:bookmarkEnd w:id="21"/>
    <w:bookmarkStart w:id="22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3"/>
        </w:numPr>
      </w:pPr>
      <w:r>
        <w:t xml:space="preserve">InfoBlox IPAM</w:t>
      </w:r>
    </w:p>
    <w:p>
      <w:pPr>
        <w:numPr>
          <w:ilvl w:val="0"/>
          <w:numId w:val="1003"/>
        </w:numPr>
      </w:pPr>
      <w:r>
        <w:t xml:space="preserve">DNS/DHCP modernization</w:t>
      </w:r>
    </w:p>
    <w:p>
      <w:pPr>
        <w:numPr>
          <w:ilvl w:val="0"/>
          <w:numId w:val="1003"/>
        </w:numPr>
      </w:pPr>
      <w:r>
        <w:t xml:space="preserve">Cloud IPAM reconciliation</w:t>
      </w:r>
    </w:p>
    <w:p>
      <w:r>
        <w:pict>
          <v:rect style="width:0;height:1.5pt" o:hralign="center" o:hrstd="t" o:hr="t"/>
        </w:pict>
      </w:r>
    </w:p>
    <w:bookmarkEnd w:id="22"/>
    <w:bookmarkStart w:id="23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4"/>
        </w:numPr>
      </w:pPr>
      <w:r>
        <w:t xml:space="preserve">M365 Network Telemetry</w:t>
      </w:r>
    </w:p>
    <w:p>
      <w:pPr>
        <w:numPr>
          <w:ilvl w:val="0"/>
          <w:numId w:val="1004"/>
        </w:numPr>
      </w:pPr>
      <w:r>
        <w:t xml:space="preserve">SD-WAN telemetry (IPFIX/SNMP/syslog)</w:t>
      </w:r>
    </w:p>
    <w:p>
      <w:pPr>
        <w:numPr>
          <w:ilvl w:val="0"/>
          <w:numId w:val="1004"/>
        </w:numPr>
      </w:pPr>
      <w:r>
        <w:t xml:space="preserve">Endpoint telemetry (Defender/Intune)</w:t>
      </w:r>
    </w:p>
    <w:p>
      <w:pPr>
        <w:numPr>
          <w:ilvl w:val="0"/>
          <w:numId w:val="1004"/>
        </w:numPr>
      </w:pPr>
      <w:r>
        <w:t xml:space="preserve">DNS telemetry (InfoBlox)</w:t>
      </w:r>
    </w:p>
    <w:p>
      <w:pPr>
        <w:numPr>
          <w:ilvl w:val="0"/>
          <w:numId w:val="1004"/>
        </w:numPr>
      </w:pPr>
      <w:r>
        <w:t xml:space="preserve">CDM/CLAW reporting</w:t>
      </w:r>
    </w:p>
    <w:p>
      <w:pPr>
        <w:numPr>
          <w:ilvl w:val="0"/>
          <w:numId w:val="1004"/>
        </w:numPr>
      </w:pPr>
      <w:r>
        <w:t xml:space="preserve">SIEM ingestion</w:t>
      </w:r>
    </w:p>
    <w:p>
      <w:r>
        <w:pict>
          <v:rect style="width:0;height:1.5pt" o:hralign="center" o:hrstd="t" o:hr="t"/>
        </w:pict>
      </w:r>
    </w:p>
    <w:bookmarkEnd w:id="23"/>
    <w:bookmarkStart w:id="24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5"/>
        </w:numPr>
      </w:pPr>
      <w:r>
        <w:t xml:space="preserve">TIC 3.0 Cloud + Branch</w:t>
      </w:r>
    </w:p>
    <w:p>
      <w:pPr>
        <w:numPr>
          <w:ilvl w:val="0"/>
          <w:numId w:val="1005"/>
        </w:numPr>
      </w:pPr>
      <w:r>
        <w:t xml:space="preserve">Zero Trust</w:t>
      </w:r>
    </w:p>
    <w:p>
      <w:pPr>
        <w:numPr>
          <w:ilvl w:val="0"/>
          <w:numId w:val="1005"/>
        </w:numPr>
      </w:pPr>
      <w:r>
        <w:t xml:space="preserve">FedRAMP alignment</w:t>
      </w:r>
    </w:p>
    <w:p>
      <w:pPr>
        <w:numPr>
          <w:ilvl w:val="0"/>
          <w:numId w:val="1005"/>
        </w:numPr>
      </w:pPr>
      <w:r>
        <w:t xml:space="preserve">NIST 800-63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24"/>
    <w:bookmarkStart w:id="32" w:name="seven-core-concepts"/>
    <w:p>
      <w:pPr>
        <w:pStyle w:val="Heading2"/>
      </w:pPr>
      <w:r>
        <w:t xml:space="preserve">Seven Core Concepts</w:t>
      </w:r>
    </w:p>
    <w:bookmarkStart w:id="25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25"/>
    <w:bookmarkStart w:id="26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26"/>
    <w:bookmarkStart w:id="27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27"/>
    <w:bookmarkStart w:id="28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28"/>
    <w:bookmarkStart w:id="29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29"/>
    <w:bookmarkStart w:id="30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30"/>
    <w:bookmarkStart w:id="31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chitectural-principles"/>
    <w:p>
      <w:pPr>
        <w:pStyle w:val="Heading2"/>
      </w:pPr>
      <w:r>
        <w:t xml:space="preserve">Architectural Principles</w:t>
      </w:r>
    </w:p>
    <w:p>
      <w:pPr>
        <w:numPr>
          <w:ilvl w:val="0"/>
          <w:numId w:val="1006"/>
        </w:numPr>
      </w:pPr>
      <w:r>
        <w:t xml:space="preserve">Zero Trust by default</w:t>
      </w:r>
    </w:p>
    <w:p>
      <w:pPr>
        <w:numPr>
          <w:ilvl w:val="0"/>
          <w:numId w:val="1006"/>
        </w:numPr>
      </w:pPr>
      <w:r>
        <w:t xml:space="preserve">Identity as the new perimeter</w:t>
      </w:r>
    </w:p>
    <w:p>
      <w:pPr>
        <w:numPr>
          <w:ilvl w:val="0"/>
          <w:numId w:val="1006"/>
        </w:numPr>
      </w:pPr>
      <w:r>
        <w:t xml:space="preserve">Telemetry as the truth source</w:t>
      </w:r>
    </w:p>
    <w:p>
      <w:pPr>
        <w:numPr>
          <w:ilvl w:val="0"/>
          <w:numId w:val="1006"/>
        </w:numPr>
      </w:pPr>
      <w:r>
        <w:t xml:space="preserve">Cloud-first routing</w:t>
      </w:r>
    </w:p>
    <w:p>
      <w:pPr>
        <w:numPr>
          <w:ilvl w:val="0"/>
          <w:numId w:val="1006"/>
        </w:numPr>
      </w:pPr>
      <w:r>
        <w:t xml:space="preserve">Incremental modernization (no big-bang)</w:t>
      </w:r>
    </w:p>
    <w:p>
      <w:pPr>
        <w:numPr>
          <w:ilvl w:val="0"/>
          <w:numId w:val="1006"/>
        </w:numPr>
      </w:pPr>
      <w:r>
        <w:t xml:space="preserve">FedRAMP-aligned controls</w:t>
      </w:r>
    </w:p>
    <w:p>
      <w:pPr>
        <w:numPr>
          <w:ilvl w:val="0"/>
          <w:numId w:val="1006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33"/>
    <w:bookmarkStart w:id="34" w:name="frozen-state-analysis"/>
    <w:p>
      <w:pPr>
        <w:pStyle w:val="Heading2"/>
      </w:pPr>
      <w:r>
        <w:t xml:space="preserve">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2026-03-21T01:04:24Z</dcterms:created>
  <dcterms:modified xsi:type="dcterms:W3CDTF">2026-03-21T01:04:24Z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