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Unified</w:t>
      </w:r>
      <w:r>
        <w:t xml:space="preserve"> </w:t>
      </w:r>
      <w:r>
        <w:t xml:space="preserve">Architecture</w:t>
      </w:r>
    </w:p>
    <w:bookmarkStart w:id="20" w:name="uiao-unified-architecture"/>
    <w:p>
      <w:pPr>
        <w:pStyle w:val="Heading1"/>
      </w:pPr>
      <w:r>
        <w:t xml:space="preserve">UIAO Unified Architecture</w:t>
      </w:r>
    </w:p>
    <w:p>
      <w:pPr>
        <w:pStyle w:val="FirstParagraph"/>
      </w:pPr>
      <w:r>
        <w:rPr>
          <w:bCs/>
          <w:b/>
        </w:rPr>
        <w:t xml:space="preserve">Version 1.0</w:t>
      </w:r>
    </w:p>
    <w:p>
      <w:r>
        <w:pict>
          <v:rect style="width:0;height:1.5pt" o:hralign="center" o:hrstd="t" o:hr="t"/>
        </w:pict>
      </w:r>
    </w:p>
    <w:bookmarkEnd w:id="20"/>
    <w:bookmarkStart w:id="21" w:name="architectural-overview"/>
    <w:p>
      <w:pPr>
        <w:pStyle w:val="Heading1"/>
      </w:pPr>
      <w:r>
        <w:t xml:space="preserve">Architectural Overview</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bookmarkEnd w:id="21"/>
    <w:bookmarkStart w:id="22" w:name="core-stack-integration"/>
    <w:p>
      <w:pPr>
        <w:pStyle w:val="Heading1"/>
      </w:pPr>
      <w:r>
        <w:t xml:space="preserve">Core Stack Integration</w:t>
      </w:r>
    </w:p>
    <w:p>
      <w:pPr>
        <w:pStyle w:val="FirstParagraph"/>
      </w:pPr>
      <w:r>
        <w:t xml:space="preserve">The following diagram illustrates how the three pillars of the UIAO framework interconnect. Each node is dynamically generated from program.yml and styled using validated classDef syntax.</w:t>
      </w:r>
    </w:p>
    <w:p>
      <w:pPr>
        <w:pStyle w:val="SourceCode"/>
      </w:pPr>
      <w:r>
        <w:rPr>
          <w:rStyle w:val="VerbatimChar"/>
        </w:rPr>
        <w:t xml:space="preserve">graph LR</w:t>
      </w:r>
      <w:r>
        <w:br/>
      </w:r>
      <w:r>
        <w:rPr>
          <w:rStyle w:val="VerbatimChar"/>
        </w:rPr>
        <w:t xml:space="preserve">    %% Define Classes based on UIAO Pillars</w:t>
      </w:r>
      <w:r>
        <w:br/>
      </w:r>
      <w:r>
        <w:rPr>
          <w:rStyle w:val="VerbatimChar"/>
        </w:rPr>
        <w:t xml:space="preserve">    classDef identity fill:#f9f,stroke:#333,stroke-width:2px;</w:t>
      </w:r>
      <w:r>
        <w:br/>
      </w:r>
      <w:r>
        <w:rPr>
          <w:rStyle w:val="VerbatimChar"/>
        </w:rPr>
        <w:t xml:space="preserve">    classDef addressing fill:#bbf,stroke:#333,stroke-width:2px;</w:t>
      </w:r>
      <w:r>
        <w:br/>
      </w:r>
      <w:r>
        <w:rPr>
          <w:rStyle w:val="VerbatimChar"/>
        </w:rPr>
        <w:t xml:space="preserve">    classDef overlay fill:#dfd,stroke:#333,stroke-width:2px;</w:t>
      </w:r>
      <w:r>
        <w:br/>
      </w:r>
      <w:r>
        <w:br/>
      </w:r>
      <w:r>
        <w:rPr>
          <w:rStyle w:val="VerbatimChar"/>
        </w:rPr>
        <w:t xml:space="preserve">    %% Dynamically generate nodes from program.yml</w:t>
      </w:r>
      <w:r>
        <w:br/>
      </w:r>
      <w:r>
        <w:rPr>
          <w:rStyle w:val="VerbatimChar"/>
        </w:rPr>
        <w:t xml:space="preserve">    </w:t>
      </w:r>
      <w:r>
        <w:br/>
      </w:r>
      <w:r>
        <w:rPr>
          <w:rStyle w:val="VerbatimChar"/>
        </w:rPr>
        <w:t xml:space="preserve">    INR["Microsoft INR"]:::identity</w:t>
      </w:r>
      <w:r>
        <w:br/>
      </w:r>
      <w:r>
        <w:rPr>
          <w:rStyle w:val="VerbatimChar"/>
        </w:rPr>
        <w:t xml:space="preserve">    </w:t>
      </w:r>
      <w:r>
        <w:br/>
      </w:r>
      <w:r>
        <w:rPr>
          <w:rStyle w:val="VerbatimChar"/>
        </w:rPr>
        <w:t xml:space="preserve">    IB["Infoblox IPAM"]:::addressing</w:t>
      </w:r>
      <w:r>
        <w:br/>
      </w:r>
      <w:r>
        <w:rPr>
          <w:rStyle w:val="VerbatimChar"/>
        </w:rPr>
        <w:t xml:space="preserve">    </w:t>
      </w:r>
      <w:r>
        <w:br/>
      </w:r>
      <w:r>
        <w:rPr>
          <w:rStyle w:val="VerbatimChar"/>
        </w:rPr>
        <w:t xml:space="preserve">    CAT["Cisco Catalyst"]:::overlay</w:t>
      </w:r>
      <w:r>
        <w:br/>
      </w:r>
      <w:r>
        <w:rPr>
          <w:rStyle w:val="VerbatimChar"/>
        </w:rPr>
        <w:t xml:space="preserve">    </w:t>
      </w:r>
      <w:r>
        <w:br/>
      </w:r>
      <w:r>
        <w:br/>
      </w:r>
      <w:r>
        <w:rPr>
          <w:rStyle w:val="VerbatimChar"/>
        </w:rPr>
        <w:t xml:space="preserve">    %% Static Logic Connections (The Unified Fabric)</w:t>
      </w:r>
      <w:r>
        <w:br/>
      </w:r>
      <w:r>
        <w:rPr>
          <w:rStyle w:val="VerbatimChar"/>
        </w:rPr>
        <w:t xml:space="preserve">    INR --&gt; CAT</w:t>
      </w:r>
      <w:r>
        <w:br/>
      </w:r>
      <w:r>
        <w:rPr>
          <w:rStyle w:val="VerbatimChar"/>
        </w:rPr>
        <w:t xml:space="preserve">    IB --&gt; CAT</w:t>
      </w:r>
      <w:r>
        <w:br/>
      </w:r>
      <w:r>
        <w:rPr>
          <w:rStyle w:val="VerbatimChar"/>
        </w:rPr>
        <w:t xml:space="preserve">    CAT --&gt; IB</w:t>
      </w:r>
    </w:p>
    <w:p>
      <w:r>
        <w:pict>
          <v:rect style="width:0;height:1.5pt" o:hralign="center" o:hrstd="t" o:hr="t"/>
        </w:pict>
      </w:r>
    </w:p>
    <w:bookmarkEnd w:id="22"/>
    <w:bookmarkStart w:id="28" w:name="the-five-control-planes"/>
    <w:p>
      <w:pPr>
        <w:pStyle w:val="Heading1"/>
      </w:pPr>
      <w:r>
        <w:t xml:space="preserve">The Five Control Planes</w:t>
      </w:r>
    </w:p>
    <w:bookmarkStart w:id="23"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3"/>
    <w:bookmarkStart w:id="24"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4"/>
    <w:bookmarkStart w:id="25"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5"/>
    <w:bookmarkStart w:id="26"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6"/>
    <w:bookmarkStart w:id="27"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7"/>
    <w:bookmarkEnd w:id="28"/>
    <w:bookmarkStart w:id="36" w:name="the-seven-core-concepts"/>
    <w:p>
      <w:pPr>
        <w:pStyle w:val="Heading1"/>
      </w:pPr>
      <w:r>
        <w:t xml:space="preserve">The Seven Core Concepts</w:t>
      </w:r>
    </w:p>
    <w:bookmarkStart w:id="29"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9"/>
    <w:bookmarkStart w:id="30"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30"/>
    <w:bookmarkStart w:id="31"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1"/>
    <w:bookmarkStart w:id="32"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2"/>
    <w:bookmarkStart w:id="33"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3"/>
    <w:bookmarkStart w:id="34"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4"/>
    <w:bookmarkStart w:id="35"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5"/>
    <w:bookmarkEnd w:id="36"/>
    <w:bookmarkStart w:id="37" w:name="architectural-rationale"/>
    <w:p>
      <w:pPr>
        <w:pStyle w:val="Heading1"/>
      </w:pPr>
      <w:r>
        <w:t xml:space="preserve">Architectural Rationale</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37"/>
    <w:bookmarkStart w:id="43" w:name="vibrant-visualizations"/>
    <w:p>
      <w:pPr>
        <w:pStyle w:val="Heading1"/>
      </w:pPr>
      <w:r>
        <w:t xml:space="preserve">Vibrant Visualizations</w:t>
      </w:r>
    </w:p>
    <w:p>
      <w:pPr>
        <w:pStyle w:val="FirstParagraph"/>
      </w:pPr>
      <w:r>
        <w:t xml:space="preserve">The following high-fidelity visuals provide presentation-grade evidence for audit and leadership review.</w:t>
      </w:r>
    </w:p>
    <w:bookmarkStart w:id="38" w:name="identity-to-ip-mapping-ua-pillar"/>
    <w:p>
      <w:pPr>
        <w:pStyle w:val="Heading3"/>
      </w:pPr>
      <w:r>
        <w:t xml:space="preserve">Identity-to-IP Mapping (U+A Pillar)</w:t>
      </w:r>
    </w:p>
    <w:tbl>
      <w:tblPr>
        <w:tblStyle w:val="FigureTable"/>
        <w:tblW w:type="auto" w:w="0"/>
        <w:tblLook w:firstRow="0" w:lastRow="0" w:firstColumn="0" w:lastColumn="0"/>
        <w:jc w:val="center"/>
      </w:tblPr>
      <w:tblGrid>
        <w:gridCol w:w="7920"/>
      </w:tblGrid>
      <w:tr>
        <w:tc>
          <w:tcPr/>
          <w:p>
            <w:pPr>
              <w:pStyle w:val="Compact"/>
              <w:jc w:val="center"/>
            </w:pPr>
            <w:r>
              <w:t xml:space="preserve">Identity-to-IP Mapping</w:t>
            </w:r>
          </w:p>
        </w:tc>
      </w:tr>
    </w:tbl>
    <w:p>
      <w:pPr>
        <w:pStyle w:val="ImageCaption"/>
      </w:pPr>
      <w:r>
        <w:t xml:space="preserve">Identity-to-IP Mapping</w:t>
      </w:r>
    </w:p>
    <w:bookmarkEnd w:id="38"/>
    <w:bookmarkStart w:id="39" w:name="cisco-microsoft-inr-overlay-o-pillar"/>
    <w:p>
      <w:pPr>
        <w:pStyle w:val="Heading3"/>
      </w:pPr>
      <w:r>
        <w:t xml:space="preserve">Cisco-Microsoft INR Overlay (O Pillar)</w:t>
      </w:r>
    </w:p>
    <w:tbl>
      <w:tblPr>
        <w:tblStyle w:val="FigureTable"/>
        <w:tblW w:type="auto" w:w="0"/>
        <w:tblLook w:firstRow="0" w:lastRow="0" w:firstColumn="0" w:lastColumn="0"/>
        <w:jc w:val="center"/>
      </w:tblPr>
      <w:tblGrid>
        <w:gridCol w:w="7920"/>
      </w:tblGrid>
      <w:tr>
        <w:tc>
          <w:tcPr/>
          <w:p>
            <w:pPr>
              <w:pStyle w:val="Compact"/>
              <w:jc w:val="center"/>
            </w:pPr>
            <w:r>
              <w:t xml:space="preserve">INR Overlay Fabric</w:t>
            </w:r>
          </w:p>
        </w:tc>
      </w:tr>
    </w:tbl>
    <w:p>
      <w:pPr>
        <w:pStyle w:val="ImageCaption"/>
      </w:pPr>
      <w:r>
        <w:t xml:space="preserve">INR Overlay Fabric</w:t>
      </w:r>
    </w:p>
    <w:bookmarkEnd w:id="39"/>
    <w:bookmarkStart w:id="40" w:name="cryptographic-trust-chain-sc-8"/>
    <w:p>
      <w:pPr>
        <w:pStyle w:val="Heading3"/>
      </w:pPr>
      <w:r>
        <w:t xml:space="preserve">Cryptographic Trust Chain (SC-8)</w:t>
      </w:r>
    </w:p>
    <w:tbl>
      <w:tblPr>
        <w:tblStyle w:val="FigureTable"/>
        <w:tblW w:type="auto" w:w="0"/>
        <w:tblLook w:firstRow="0" w:lastRow="0" w:firstColumn="0" w:lastColumn="0"/>
        <w:jc w:val="center"/>
      </w:tblPr>
      <w:tblGrid>
        <w:gridCol w:w="7920"/>
      </w:tblGrid>
      <w:tr>
        <w:tc>
          <w:tcPr/>
          <w:p>
            <w:pPr>
              <w:pStyle w:val="Compact"/>
              <w:jc w:val="center"/>
            </w:pPr>
            <w:r>
              <w:t xml:space="preserve">Trust Chain</w:t>
            </w:r>
          </w:p>
        </w:tc>
      </w:tr>
    </w:tbl>
    <w:p>
      <w:pPr>
        <w:pStyle w:val="ImageCaption"/>
      </w:pPr>
      <w:r>
        <w:t xml:space="preserve">Trust Chain</w:t>
      </w:r>
    </w:p>
    <w:p>
      <w:r>
        <w:pict>
          <v:rect style="width:0;height:1.5pt" o:hralign="center" o:hrstd="t" o:hr="t"/>
        </w:pict>
      </w:r>
    </w:p>
    <w:bookmarkEnd w:id="40"/>
    <w:bookmarkStart w:id="42" w:name="the-cryptographic-trust-chain-visual-v5"/>
    <w:p>
      <w:pPr>
        <w:pStyle w:val="Heading2"/>
      </w:pPr>
      <w:r>
        <w:t xml:space="preserve">The Cryptographic Trust Chain (Visual V5)</w:t>
      </w:r>
    </w:p>
    <w:p>
      <w:pPr>
        <w:pStyle w:val="FirstParagraph"/>
      </w:pPr>
      <w:r>
        <w:t xml:space="preserve">The UIAO model replaces legacy password-based access with a cryptographically proven trust chain. Every connection to the</w:t>
      </w:r>
      <w:r>
        <w:t xml:space="preserve"> </w:t>
      </w:r>
      <w:r>
        <w:rPr>
          <w:bCs/>
          <w:b/>
        </w:rPr>
        <w:t xml:space="preserve">agency</w:t>
      </w:r>
      <w:r>
        <w:t xml:space="preserve"> </w:t>
      </w:r>
      <w:r>
        <w:t xml:space="preserve">fabric is validated using a</w:t>
      </w:r>
      <w:r>
        <w:t xml:space="preserve"> </w:t>
      </w:r>
      <w:r>
        <w:t xml:space="preserve">“</w:t>
      </w:r>
      <w:r>
        <w:t xml:space="preserve">Digital Passport</w:t>
      </w:r>
      <w:r>
        <w:t xml:space="preserve">”</w:t>
      </w:r>
      <w:r>
        <w:t xml:space="preserve"> </w:t>
      </w:r>
      <w:r>
        <w:t xml:space="preserve">anchored to the</w:t>
      </w:r>
      <w:r>
        <w:t xml:space="preserve"> </w:t>
      </w:r>
      <w:r>
        <w:rPr>
          <w:bCs/>
          <w:b/>
        </w:rPr>
        <w:t xml:space="preserve">GSA Federal Common Policy CA (Root)</w:t>
      </w:r>
      <w:r>
        <w:t xml:space="preserve">.</w:t>
      </w:r>
    </w:p>
    <w:bookmarkStart w:id="41" w:name="trust-propagation-flow"/>
    <w:p>
      <w:pPr>
        <w:pStyle w:val="Heading3"/>
      </w:pPr>
      <w:r>
        <w:rPr>
          <w:bCs/>
          <w:b/>
        </w:rPr>
        <w:t xml:space="preserve">Trust Propagation Flow</w:t>
      </w:r>
    </w:p>
    <w:p>
      <w:pPr>
        <w:numPr>
          <w:ilvl w:val="0"/>
          <w:numId w:val="1001"/>
        </w:numPr>
        <w:pStyle w:val="Compact"/>
      </w:pPr>
      <w:r>
        <w:rPr>
          <w:bCs/>
          <w:b/>
        </w:rPr>
        <w:t xml:space="preserve">Root Anchor:</w:t>
      </w:r>
      <w:r>
        <w:t xml:space="preserve"> </w:t>
      </w:r>
      <w:r>
        <w:t xml:space="preserve">Trust originates at the Federal Root CA.</w:t>
      </w:r>
    </w:p>
    <w:p>
      <w:pPr>
        <w:numPr>
          <w:ilvl w:val="0"/>
          <w:numId w:val="1001"/>
        </w:numPr>
        <w:pStyle w:val="Compact"/>
      </w:pPr>
      <w:r>
        <w:rPr>
          <w:bCs/>
          <w:b/>
        </w:rPr>
        <w:t xml:space="preserve">Issuance:</w:t>
      </w:r>
      <w:r>
        <w:t xml:space="preserve"> </w:t>
      </w:r>
      <w:r>
        <w:t xml:space="preserve">The</w:t>
      </w:r>
      <w:r>
        <w:t xml:space="preserve"> </w:t>
      </w:r>
      <w:r>
        <w:rPr>
          <w:bCs/>
          <w:b/>
        </w:rPr>
        <w:t xml:space="preserve">Agency Issuing CA (Subordinate)</w:t>
      </w:r>
      <w:r>
        <w:t xml:space="preserve"> </w:t>
      </w:r>
      <w:r>
        <w:t xml:space="preserve">issues certificates via</w:t>
      </w:r>
      <w:r>
        <w:t xml:space="preserve"> </w:t>
      </w:r>
      <w:r>
        <w:rPr>
          <w:bCs/>
          <w:b/>
        </w:rPr>
        <w:t xml:space="preserve">SCEP / Microsoft Intune</w:t>
      </w:r>
      <w:r>
        <w:t xml:space="preserve">.</w:t>
      </w:r>
    </w:p>
    <w:p>
      <w:pPr>
        <w:numPr>
          <w:ilvl w:val="0"/>
          <w:numId w:val="1001"/>
        </w:numPr>
        <w:pStyle w:val="Compact"/>
      </w:pPr>
      <w:r>
        <w:rPr>
          <w:bCs/>
          <w:b/>
        </w:rPr>
        <w:t xml:space="preserve">Verification:</w:t>
      </w:r>
      <w:r>
        <w:t xml:space="preserve"> </w:t>
      </w:r>
      <w:r>
        <w:t xml:space="preserve">The</w:t>
      </w:r>
      <w:r>
        <w:t xml:space="preserve"> </w:t>
      </w:r>
      <w:r>
        <w:rPr>
          <w:bCs/>
          <w:b/>
        </w:rPr>
        <w:t xml:space="preserve">UIAO Fabric Edge (Cisco SD-WAN)</w:t>
      </w:r>
      <w:r>
        <w:t xml:space="preserve"> </w:t>
      </w:r>
      <w:r>
        <w:t xml:space="preserve">performs a hardware-backed mTLS handshake.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Entity Type</w:t>
            </w:r>
          </w:p>
        </w:tc>
        <w:tc>
          <w:tcPr/>
          <w:p>
            <w:pPr>
              <w:pStyle w:val="Compact"/>
              <w:jc w:val="left"/>
            </w:pPr>
            <w:r>
              <w:t xml:space="preserve">Issuance Protocol</w:t>
            </w:r>
          </w:p>
        </w:tc>
        <w:tc>
          <w:tcPr/>
          <w:p>
            <w:pPr>
              <w:pStyle w:val="Compact"/>
              <w:jc w:val="left"/>
            </w:pPr>
            <w:r>
              <w:t xml:space="preserve">Enforcement Mechanism</w:t>
            </w:r>
          </w:p>
        </w:tc>
      </w:tr>
      <w:tr>
        <w:tc>
          <w:tcPr/>
          <w:p>
            <w:pPr>
              <w:pStyle w:val="Compact"/>
              <w:jc w:val="left"/>
            </w:pPr>
            <w:r>
              <w:t xml:space="preserve">Managed Workstations</w:t>
            </w:r>
          </w:p>
        </w:tc>
        <w:tc>
          <w:tcPr/>
          <w:p>
            <w:pPr>
              <w:pStyle w:val="Compact"/>
              <w:jc w:val="left"/>
            </w:pPr>
            <w:r>
              <w:rPr>
                <w:rStyle w:val="VerbatimChar"/>
              </w:rPr>
              <w:t xml:space="preserve">SCEP / Microsoft Intune</w:t>
            </w:r>
          </w:p>
        </w:tc>
        <w:tc>
          <w:tcPr/>
          <w:p>
            <w:pPr>
              <w:pStyle w:val="Compact"/>
              <w:jc w:val="left"/>
            </w:pPr>
            <w:r>
              <w:t xml:space="preserve">Mutual TLS (mTLS) to Cisco Catalyst Edge</w:t>
            </w:r>
          </w:p>
        </w:tc>
      </w:tr>
      <w:tr>
        <w:tc>
          <w:tcPr/>
          <w:p>
            <w:pPr>
              <w:pStyle w:val="Compact"/>
              <w:jc w:val="left"/>
            </w:pPr>
            <w:r>
              <w:t xml:space="preserve">Mobile Devices</w:t>
            </w:r>
          </w:p>
        </w:tc>
        <w:tc>
          <w:tcPr/>
          <w:p>
            <w:pPr>
              <w:pStyle w:val="Compact"/>
              <w:jc w:val="left"/>
            </w:pPr>
            <w:r>
              <w:rPr>
                <w:rStyle w:val="VerbatimChar"/>
              </w:rPr>
              <w:t xml:space="preserve">Derive PIV / Entra ID</w:t>
            </w:r>
          </w:p>
        </w:tc>
        <w:tc>
          <w:tcPr/>
          <w:p>
            <w:pPr>
              <w:pStyle w:val="Compact"/>
              <w:jc w:val="left"/>
            </w:pPr>
            <w:r>
              <w:t xml:space="preserve">Conditional Access + FIDO2</w:t>
            </w:r>
          </w:p>
        </w:tc>
      </w:tr>
    </w:tbl>
    <w:p>
      <w:pPr>
        <w:pStyle w:val="BlockText"/>
      </w:pPr>
      <w:r>
        <w:rPr>
          <w:bCs/>
          <w:b/>
        </w:rPr>
        <w:t xml:space="preserve">Security Note:</w:t>
      </w:r>
      <w:r>
        <w:t xml:space="preserve"> </w:t>
      </w:r>
      <w:r>
        <w:t xml:space="preserve">This architecture ensures that even if a user’s credentials are compromised, the lack of a hardware-bound certificate (V5) prevents unauthorized access to the UIAO fabric.</w:t>
      </w:r>
    </w:p>
    <w:p>
      <w:r>
        <w:pict>
          <v:rect style="width:0;height:1.5pt" o:hralign="center" o:hrstd="t" o:hr="t"/>
        </w:pict>
      </w:r>
    </w:p>
    <w:p>
      <w:pPr>
        <w:pStyle w:val="FirstParagraph"/>
      </w:pPr>
      <w:r>
        <w:rPr>
          <w:iCs/>
          <w:i/>
        </w:rPr>
        <w:t xml:space="preserve">End of Unified Architecture v1.0</w:t>
      </w:r>
    </w:p>
    <w:bookmarkEnd w:id="41"/>
    <w:bookmarkEnd w:id="42"/>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Unified Architecture</dc:title>
  <dc:creator/>
  <cp:keywords/>
  <dcterms:created xsi:type="dcterms:W3CDTF">2026-03-21T01:04:24Z</dcterms:created>
  <dcterms:modified xsi:type="dcterms:W3CDTF">2026-03-21T01:04:24Z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