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56bc08c1dfbf6aec09079b86867f22989456d68"/>
    <w:p>
      <w:pPr>
        <w:pStyle w:val="Heading1"/>
      </w:pPr>
      <w:r>
        <w:t xml:space="preserve">Federal OrgComp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Working Document (governance-engine program)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2026-07-27 10:06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Organization Compliance (OrgComp) series (formerly Application-Aware</w:t>
      </w:r>
      <w:r>
        <w:t xml:space="preserve"> </w:t>
      </w:r>
      <w:r>
        <w:t xml:space="preserve">Networking, AAN; Parts 1–19, all delivered as of July 5, 2026) provides the</w:t>
      </w:r>
      <w:r>
        <w:t xml:space="preserve"> </w:t>
      </w:r>
      <w:r>
        <w:rPr>
          <w:b/>
          <w:bCs/>
        </w:rPr>
        <w:t xml:space="preserve">complete evidence and authorization-package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for the agency’s RMF authorization, with continuous-monitoring evidence</w:t>
      </w:r>
      <w:r>
        <w:t xml:space="preserve"> </w:t>
      </w:r>
      <w:r>
        <w:t xml:space="preserve">modeled on the FedRAMP 20x KSI schema.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&lt;engine&gt; oscal bundle</w:t>
      </w:r>
      <w:r>
        <w:t xml:space="preserve">.</w:t>
      </w:r>
      <w:r>
        <w:t xml:space="preserve"> </w:t>
      </w:r>
      <w:r>
        <w:t xml:space="preserve">The evaluation engine is wired for</w:t>
      </w:r>
      <w:r>
        <w:t xml:space="preserve"> </w:t>
      </w:r>
      <w:r>
        <w:rPr>
          <w:b/>
          <w:bCs/>
        </w:rPr>
        <w:t xml:space="preserve">all 29 rules in the series’ internal KSI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</w:t>
      </w:r>
      <w:r>
        <w:t xml:space="preserve"> </w:t>
      </w:r>
      <w:r>
        <w:t xml:space="preserve">— zero scaffold rules remain. Part 18 (Book_18) delivered the AT</w:t>
      </w:r>
      <w:r>
        <w:t xml:space="preserve"> </w:t>
      </w:r>
      <w:r>
        <w:t xml:space="preserve">family training evidence and closed KSI-022 (KSI-CED-RAT). Part 19 (Book_19)</w:t>
      </w:r>
      <w:r>
        <w:t xml:space="preserve"> </w:t>
      </w:r>
      <w:r>
        <w:t xml:space="preserve">assembled the authorization package — OSCAL bundle (29/29 rules in scope</w:t>
      </w:r>
      <w:r>
        <w:t xml:space="preserve"> </w:t>
      </w:r>
      <w:r>
        <w:t xml:space="preserve">self-assessed satisfied, 0 open</w:t>
      </w:r>
      <w:r>
        <w:t xml:space="preserve"> </w:t>
      </w:r>
      <w:r>
        <w:rPr>
          <w:b/>
          <w:bCs/>
        </w:rPr>
        <w:t xml:space="preserve">in the series’ internal KSI decomposition</w:t>
      </w:r>
      <w:r>
        <w:t xml:space="preserve">, 0 POA&amp;M</w:t>
      </w:r>
      <w:r>
        <w:t xml:space="preserve"> </w:t>
      </w:r>
      <w:r>
        <w:t xml:space="preserve">items — expected non-empty once mapped to CR26 and assessed), BOD 26-04 VDR/VER</w:t>
      </w:r>
      <w:r>
        <w:t xml:space="preserve"> </w:t>
      </w:r>
      <w:r>
        <w:t xml:space="preserve">submission procedure, and CA-7 ConMon program. All rules in scope are</w:t>
      </w:r>
      <w:r>
        <w:t xml:space="preserve"> </w:t>
      </w:r>
      <w:r>
        <w:t xml:space="preserve">self-assessed satisfied against the series’ internal KSI decomposition (not the finalized</w:t>
      </w:r>
      <w:r>
        <w:t xml:space="preserve"> </w:t>
      </w:r>
      <w:r>
        <w:t xml:space="preserve">CR26 Moderate catalog) pending independent security control assessment (SCA).</w:t>
      </w:r>
      <w:r>
        <w:t xml:space="preserve"> </w:t>
      </w:r>
      <w:r>
        <w:rPr>
          <w:b/>
          <w:bCs/>
        </w:rPr>
        <w:t xml:space="preserve">The series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and the authorization package is assembled for the SSA Authorizing</w:t>
      </w:r>
      <w:r>
        <w:rPr>
          <w:b/>
          <w:bCs/>
        </w:rPr>
        <w:t xml:space="preserve"> </w:t>
      </w:r>
      <w:r>
        <w:rPr>
          <w:b/>
          <w:bCs/>
        </w:rPr>
        <w:t xml:space="preserve">Official’s review.</w:t>
      </w:r>
    </w:p>
    <w:p>
      <w:pPr>
        <w:pStyle w:val="BlockText"/>
      </w:pPr>
      <w:r>
        <w:rPr>
          <w:b/>
          <w:bCs/>
        </w:rPr>
        <w:t xml:space="preserve">Framing note (added 2026-07-08).</w:t>
      </w:r>
      <w:r>
        <w:t xml:space="preserve"> </w:t>
      </w:r>
      <w:r>
        <w:t xml:space="preserve">SSA is a</w:t>
      </w:r>
      <w:r>
        <w:t xml:space="preserve"> </w:t>
      </w:r>
      <w:r>
        <w:rPr>
          <w:i/>
          <w:iCs/>
        </w:rPr>
        <w:t xml:space="preserve">consuming agency</w:t>
      </w:r>
      <w:r>
        <w:t xml:space="preserve"> </w:t>
      </w:r>
      <w:r>
        <w:t xml:space="preserve">securing its</w:t>
      </w:r>
      <w:r>
        <w:t xml:space="preserve"> </w:t>
      </w:r>
      <w:r>
        <w:t xml:space="preserve">own GCC Moderate enterprise — it is not a cloud service provider seeking a</w:t>
      </w:r>
      <w:r>
        <w:t xml:space="preserve"> </w:t>
      </w:r>
      <w:r>
        <w:t xml:space="preserve">FedRAMP authorization. The artifact this roadmap builds toward is an</w:t>
      </w:r>
      <w:r>
        <w:t xml:space="preserve"> </w:t>
      </w:r>
      <w:r>
        <w:rPr>
          <w:b/>
          <w:bCs/>
        </w:rPr>
        <w:t xml:space="preserve">agency</w:t>
      </w:r>
      <w:r>
        <w:rPr>
          <w:b/>
          <w:bCs/>
        </w:rPr>
        <w:t xml:space="preserve"> </w:t>
      </w:r>
      <w:r>
        <w:rPr>
          <w:b/>
          <w:bCs/>
        </w:rPr>
        <w:t xml:space="preserve">RMF/FISMA ATO (NIST SP 800-37)</w:t>
      </w:r>
      <w:r>
        <w:t xml:space="preserve"> </w:t>
      </w:r>
      <w:r>
        <w:t xml:space="preserve">issued by the SSA Authorizing Official, with</w:t>
      </w:r>
      <w:r>
        <w:t xml:space="preserve"> </w:t>
      </w:r>
      <w:r>
        <w:t xml:space="preserve">the FedRAMP-authorized cloud services SSA consumes (M365 GCC, AWS GovCloud,</w:t>
      </w:r>
      <w:r>
        <w:t xml:space="preserve"> </w:t>
      </w:r>
      <w:r>
        <w:t xml:space="preserve">DDI SaaS) inherited as leveraged authorizations. The FedRAMP 20x KSI schema</w:t>
      </w:r>
      <w:r>
        <w:t xml:space="preserve"> </w:t>
      </w:r>
      <w:r>
        <w:t xml:space="preserve">is used as the</w:t>
      </w:r>
      <w:r>
        <w:t xml:space="preserve"> </w:t>
      </w:r>
      <w:r>
        <w:rPr>
          <w:i/>
          <w:iCs/>
        </w:rPr>
        <w:t xml:space="preserve">ConMon evidence idiom</w:t>
      </w:r>
      <w:r>
        <w:t xml:space="preserve"> </w:t>
      </w:r>
      <w:r>
        <w:t xml:space="preserve">— it future-proofs the evidence layer</w:t>
      </w:r>
      <w:r>
        <w:t xml:space="preserve"> </w:t>
      </w:r>
      <w:r>
        <w:t xml:space="preserve">against M-24-15 ConMon expectations, CDM, FISMA CIO metrics, and OSCAL</w:t>
      </w:r>
      <w:r>
        <w:t xml:space="preserve"> </w:t>
      </w:r>
      <w:r>
        <w:t xml:space="preserve">mandates, all of which do bind agencies — but nothing here is submitted to</w:t>
      </w:r>
      <w:r>
        <w:t xml:space="preserve"> </w:t>
      </w:r>
      <w:r>
        <w:t xml:space="preserve">the FedRAMP PMO. If any in-scope system is later offered as a shared service</w:t>
      </w:r>
      <w:r>
        <w:t xml:space="preserve"> </w:t>
      </w:r>
      <w:r>
        <w:t xml:space="preserve">to other agencies, that system becomes a CSO and enters the 20x pipeline in</w:t>
      </w:r>
      <w:r>
        <w:t xml:space="preserve"> </w:t>
      </w:r>
      <w:r>
        <w:t xml:space="preserve">its own right; split it out explicitly at that point rather than letting the</w:t>
      </w:r>
      <w:r>
        <w:t xml:space="preserve"> </w:t>
      </w:r>
      <w:r>
        <w:t xml:space="preserve">CSO framing color the enterprise corpus.</w:t>
      </w:r>
    </w:p>
    <w:p>
      <w:pPr>
        <w:pStyle w:val="BlockText"/>
      </w:pPr>
      <w:r>
        <w:rPr>
          <w:b/>
          <w:bCs/>
        </w:rPr>
        <w:t xml:space="preserve">KSI-count reconciliation (initial diff published).</w:t>
      </w:r>
      <w:r>
        <w:t xml:space="preserve"> </w:t>
      </w:r>
      <w:r>
        <w:t xml:space="preserve">The</w:t>
      </w:r>
      <w:r>
        <w:t xml:space="preserve"> </w:t>
      </w:r>
      <w:r>
        <w:t xml:space="preserve">“29 KSI rules”</w:t>
      </w:r>
      <w:r>
        <w:t xml:space="preserve"> </w:t>
      </w:r>
      <w:r>
        <w:t xml:space="preserve">throughout this document are the series’ internal KSI decomposition, not the published</w:t>
      </w:r>
      <w:r>
        <w:t xml:space="preserve"> </w:t>
      </w:r>
      <w:r>
        <w:t xml:space="preserve">CR26 Moderate KSI catalog. The rule-ID-by-rule-ID diff against the in-repo CR26</w:t>
      </w:r>
      <w:r>
        <w:t xml:space="preserve"> </w:t>
      </w:r>
      <w:r>
        <w:t xml:space="preserve">OSCAL catalog now exists — see</w:t>
      </w:r>
      <w:r>
        <w:t xml:space="preserve"> </w:t>
      </w:r>
      <w:r>
        <w:rPr>
          <w:rStyle w:val="VerbatimChar"/>
        </w:rPr>
        <w:t xml:space="preserve">OrgComp_CR26_Reconciliation.md</w:t>
      </w:r>
      <w:r>
        <w:t xml:space="preserve">. It finds</w:t>
      </w:r>
      <w:r>
        <w:t xml:space="preserve"> </w:t>
      </w:r>
      <w:r>
        <w:rPr>
          <w:b/>
          <w:bCs/>
        </w:rPr>
        <w:t xml:space="preserve">19 of</w:t>
      </w:r>
      <w:r>
        <w:rPr>
          <w:b/>
          <w:bCs/>
        </w:rPr>
        <w:t xml:space="preserve"> </w:t>
      </w:r>
      <w:r>
        <w:rPr>
          <w:b/>
          <w:bCs/>
        </w:rPr>
        <w:t xml:space="preserve">46</w:t>
      </w:r>
      <w:r>
        <w:t xml:space="preserve"> </w:t>
      </w:r>
      <w:r>
        <w:t xml:space="preserve">CR26 indicators explicitly mapped 1:1 to an internal rule (six themes</w:t>
      </w:r>
      <w:r>
        <w:t xml:space="preserve"> </w:t>
      </w:r>
      <w:r>
        <w:t xml:space="preserve">fully covered) and</w:t>
      </w:r>
      <w:r>
        <w:t xml:space="preserve"> </w:t>
      </w:r>
      <w:r>
        <w:rPr>
          <w:b/>
          <w:bCs/>
        </w:rPr>
        <w:t xml:space="preserve">27 not yet bound to an indicator ID</w:t>
      </w:r>
      <w:r>
        <w:t xml:space="preserve"> </w:t>
      </w:r>
      <w:r>
        <w:t xml:space="preserve">(IAM/CNA/SVC/MLA,</w:t>
      </w:r>
      <w:r>
        <w:t xml:space="preserve"> </w:t>
      </w:r>
      <w:r>
        <w:t xml:space="preserve">attested at the ScuBA baseline level only). So</w:t>
      </w:r>
      <w:r>
        <w:t xml:space="preserve"> </w:t>
      </w:r>
      <w:r>
        <w:t xml:space="preserve">“29/29 satisfied”</w:t>
      </w:r>
      <w:r>
        <w:t xml:space="preserve"> </w:t>
      </w:r>
      <w:r>
        <w:t xml:space="preserve">is a claim</w:t>
      </w:r>
      <w:r>
        <w:t xml:space="preserve"> </w:t>
      </w:r>
      <w:r>
        <w:t xml:space="preserve">about the internal rule set; CR26 indicator-level coverage is 19/46 explicitly</w:t>
      </w:r>
      <w:r>
        <w:t xml:space="preserve"> </w:t>
      </w:r>
      <w:r>
        <w:t xml:space="preserve">mapped pending reconciliation to the finalized CR26 Moderate list (June 25,</w:t>
      </w:r>
      <w:r>
        <w:t xml:space="preserve"> </w:t>
      </w:r>
      <w:r>
        <w:t xml:space="preserve">2026) and independent SCA.</w:t>
      </w:r>
    </w:p>
    <w:p>
      <w:r>
        <w:pict>
          <v:rect style="width:0;height:1.5pt" o:hralign="center" o:hrstd="t" o:hr="t"/>
        </w:pict>
      </w:r>
    </w:p>
    <w:bookmarkEnd w:id="9"/>
    <w:bookmarkStart w:id="14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OrgComp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23-02</w:t>
            </w:r>
          </w:p>
        </w:tc>
        <w:tc>
          <w:tcPr/>
          <w:p>
            <w:pPr>
              <w:pStyle w:val="Compact"/>
            </w:pPr>
            <w:r>
              <w:t xml:space="preserve">Networked management interfaces removed from the public internet or protected by ZTA capability — within 14 days of identification, ongoing</w:t>
            </w:r>
          </w:p>
        </w:tc>
        <w:tc>
          <w:tcPr/>
          <w:p>
            <w:pPr>
              <w:pStyle w:val="Compact"/>
            </w:pPr>
            <w:r>
              <w:t xml:space="preserve">AC-17, CM-7, SC-7</w:t>
            </w:r>
          </w:p>
        </w:tc>
        <w:tc>
          <w:tcPr/>
          <w:p>
            <w:pPr>
              <w:pStyle w:val="Compact"/>
            </w:pPr>
            <w:r>
              <w:t xml:space="preserve">Parts 5, 10 (PAW/ZTNA)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(FY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FISMA CIO Metrics</w:t>
            </w:r>
          </w:p>
        </w:tc>
        <w:tc>
          <w:tcPr/>
          <w:p>
            <w:pPr>
              <w:pStyle w:val="Compact"/>
            </w:pPr>
            <w:r>
              <w:t xml:space="preserve">Quarterly + annual CyberScope reporting against the CIO metrics; FY26 cycle measures ZT maturity, logging, MFA, and asset coverage</w:t>
            </w:r>
          </w:p>
        </w:tc>
        <w:tc>
          <w:tcPr/>
          <w:p>
            <w:pPr>
              <w:pStyle w:val="Compact"/>
            </w:pPr>
            <w:r>
              <w:t xml:space="preserve">PM, CA families</w:t>
            </w:r>
          </w:p>
        </w:tc>
        <w:tc>
          <w:tcPr/>
          <w:p>
            <w:pPr>
              <w:pStyle w:val="Compact"/>
            </w:pPr>
            <w:r>
              <w:t xml:space="preserve">Book 19 ConMon feeds; measured-lifecycle metrics (Part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Class C (Moderate) CSO certifications open —</w:t>
            </w:r>
            <w:r>
              <w:t xml:space="preserve"> </w:t>
            </w:r>
            <w:r>
              <w:rPr>
                <w:b/>
                <w:bCs/>
              </w:rPr>
              <w:t xml:space="preserve">the window for the cloud services SSA inherits.</w:t>
            </w:r>
            <w:r>
              <w:t xml:space="preserve"> </w:t>
            </w:r>
            <w:r>
              <w:t xml:space="preserve">SSA tracks that its providers (M365 GCC, GovCloud, DDI) enter the 20x pipeline; this is not an SSA submission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OrgComp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/ 23-02 (cisa.gov); NIST SP 800-53</w:t>
      </w:r>
      <w:r>
        <w:t xml:space="preserve"> </w:t>
      </w:r>
      <w:r>
        <w:t xml:space="preserve">Release 5.2.0 change summary (csrc.nist.gov, Aug 27, 2025); OMB M-22-09 /</w:t>
      </w:r>
      <w:r>
        <w:t xml:space="preserve"> </w:t>
      </w:r>
      <w:r>
        <w:t xml:space="preserve">M-21-31 / M-21-07 / M-23-02 (whitehouse.gov); NSA CNSA 2.0 (v2.1, Dec 2024);</w:t>
      </w:r>
      <w:r>
        <w:t xml:space="preserve"> </w:t>
      </w:r>
      <w:r>
        <w:t xml:space="preserve">NIST FIPS 140-2 Historical List transition (Sep 21, 2026); CISA FISMA CIO</w:t>
      </w:r>
      <w:r>
        <w:t xml:space="preserve"> </w:t>
      </w:r>
      <w:r>
        <w:t xml:space="preserve">metrics / CyberScope reporting guidance.</w:t>
      </w:r>
    </w:p>
    <w:bookmarkEnd w:id="12"/>
    <w:bookmarkStart w:id="13" w:name="X1d1d5b3c6f13230bac7722390f45a67e1261335"/>
    <w:p>
      <w:pPr>
        <w:pStyle w:val="Heading3"/>
      </w:pPr>
      <w:r>
        <w:t xml:space="preserve">Scoping notes — adjacent regimes, deliberately bounded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governance (OMB M-24-10, superseded Apr 2025 by M-25-21/M-25-22; NIST</w:t>
      </w:r>
      <w:r>
        <w:rPr>
          <w:b/>
          <w:bCs/>
        </w:rPr>
        <w:t xml:space="preserve"> </w:t>
      </w:r>
      <w:r>
        <w:rPr>
          <w:b/>
          <w:bCs/>
        </w:rPr>
        <w:t xml:space="preserve">AI RMF):</w:t>
      </w:r>
      <w:r>
        <w:t xml:space="preserve"> </w:t>
      </w:r>
      <w:r>
        <w:t xml:space="preserve">out of scope for this series</w:t>
      </w:r>
      <w:r>
        <w:t xml:space="preserve"> </w:t>
      </w:r>
      <w:r>
        <w:rPr>
          <w:i/>
          <w:iCs/>
        </w:rPr>
        <w:t xml:space="preserve">as long as no AI system 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sits inside the authorization boundary</w:t>
      </w:r>
      <w:r>
        <w:t xml:space="preserve">. The series’ network, identity, and</w:t>
      </w:r>
      <w:r>
        <w:t xml:space="preserve"> </w:t>
      </w:r>
      <w:r>
        <w:t xml:space="preserve">evidence planes carry no AI decision systems. If SSA deploys AI within the</w:t>
      </w:r>
      <w:r>
        <w:t xml:space="preserve"> </w:t>
      </w:r>
      <w:r>
        <w:t xml:space="preserve">boundary, the AI use-case inventory, risk management, and transparency</w:t>
      </w:r>
      <w:r>
        <w:t xml:space="preserve"> </w:t>
      </w:r>
      <w:r>
        <w:t xml:space="preserve">requirements attach — track the decision in the PM governance layer</w:t>
      </w:r>
      <w:r>
        <w:t xml:space="preserve"> </w:t>
      </w:r>
      <w:r>
        <w:t xml:space="preserve">(Book 16) and revisit this note. (The SSA reviewer’s reference to</w:t>
      </w:r>
      <w:r>
        <w:t xml:space="preserve"> </w:t>
      </w:r>
      <w:r>
        <w:t xml:space="preserve">“M-24-04”</w:t>
      </w:r>
      <w:r>
        <w:t xml:space="preserve"> </w:t>
      </w:r>
      <w:r>
        <w:t xml:space="preserve">conflates the FY24 FISMA guidance memo with the AI memo; the</w:t>
      </w:r>
      <w:r>
        <w:t xml:space="preserve"> </w:t>
      </w:r>
      <w:r>
        <w:t xml:space="preserve">correct citations are above.)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lifecycle (PIA/PTA under OMB A-130):</w:t>
      </w:r>
      <w:r>
        <w:t xml:space="preserve"> </w:t>
      </w:r>
      <w:r>
        <w:t xml:space="preserve">the control-family mapping</w:t>
      </w:r>
      <w:r>
        <w:t xml:space="preserve"> </w:t>
      </w:r>
      <w:r>
        <w:t xml:space="preserve">is Part 17’s PT coverage (Rev 5 integrated the former Appendix J privacy</w:t>
      </w:r>
      <w:r>
        <w:t xml:space="preserve"> </w:t>
      </w:r>
      <w:r>
        <w:t xml:space="preserve">controls into the catalog; Appendix J no longer exists as such). The</w:t>
      </w:r>
      <w:r>
        <w:t xml:space="preserve"> </w:t>
      </w:r>
      <w:r>
        <w:t xml:space="preserve">PIA/PTA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lifecycle — privacy threshold analysis at system</w:t>
      </w:r>
      <w:r>
        <w:t xml:space="preserve"> </w:t>
      </w:r>
      <w:r>
        <w:t xml:space="preserve">change, privacy impact assessment before PII processing changes — is an</w:t>
      </w:r>
      <w:r>
        <w:t xml:space="preserve"> </w:t>
      </w:r>
      <w:r>
        <w:t xml:space="preserve">agency SOP artifact layered on Part 17’s DFL-001..006 data-flow maps.</w:t>
      </w:r>
      <w:r>
        <w:t xml:space="preserve"> </w:t>
      </w:r>
      <w:r>
        <w:t xml:space="preserve">Flagged as Part 17 backlog: PTA/PIA procedure templates keyed to the</w:t>
      </w:r>
      <w:r>
        <w:t xml:space="preserve"> </w:t>
      </w:r>
      <w:r>
        <w:t xml:space="preserve">data-flow map identifiers.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Memory-safe languages (CISA/NSA joint guidance,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Memory-Safe Roadmaps</w:t>
      </w:r>
      <w:r>
        <w:rPr>
          <w:b/>
          <w:bCs/>
        </w:rPr>
        <w:t xml:space="preserve">, Dec 2023; CISA Secure by Design):</w:t>
      </w:r>
      <w:r>
        <w:t xml:space="preserve"> </w:t>
      </w:r>
      <w:r>
        <w:t xml:space="preserve">guidance aimed</w:t>
      </w:r>
      <w:r>
        <w:t xml:space="preserve"> </w:t>
      </w:r>
      <w:r>
        <w:t xml:space="preserve">at software</w:t>
      </w:r>
      <w:r>
        <w:t xml:space="preserve"> </w:t>
      </w:r>
      <w:r>
        <w:rPr>
          <w:i/>
          <w:iCs/>
        </w:rPr>
        <w:t xml:space="preserve">manufacturers</w:t>
      </w:r>
      <w:r>
        <w:t xml:space="preserve">, not a directive binding on agencies — and</w:t>
      </w:r>
      <w:r>
        <w:t xml:space="preserve"> </w:t>
      </w:r>
      <w:r>
        <w:t xml:space="preserve">distinct from BOD 23-02, which covers internet-exposed management</w:t>
      </w:r>
      <w:r>
        <w:t xml:space="preserve"> </w:t>
      </w:r>
      <w:r>
        <w:t xml:space="preserve">interfaces and appears in the timeline above. The series hook is Part 15</w:t>
      </w:r>
      <w:r>
        <w:t xml:space="preserve"> </w:t>
      </w:r>
      <w:r>
        <w:t xml:space="preserve">vendor diligence: whether a supplier publishes a memory-safety roadmap</w:t>
      </w:r>
      <w:r>
        <w:t xml:space="preserve"> </w:t>
      </w:r>
      <w:r>
        <w:t xml:space="preserve">joins the SCRM evaluation criteria alongside SBOM/VDR posture.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adac7c4fb24edd27b0cdc9f8e1c84b6a2d3645"/>
    <w:p>
      <w:pPr>
        <w:pStyle w:val="Heading2"/>
      </w:pPr>
      <w:r>
        <w:t xml:space="preserve">Mechanism, Not Product — Alternative Implementation Paths</w:t>
      </w:r>
    </w:p>
    <w:p>
      <w:pPr>
        <w:pStyle w:val="FirstParagraph"/>
      </w:pPr>
      <w:r>
        <w:rPr>
          <w:i/>
          <w:iCs/>
        </w:rPr>
        <w:t xml:space="preserve">Added 2026-07-07 in response to SSA review feedback. The feedback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that the series’</w:t>
      </w:r>
      <w:r>
        <w:rPr>
          <w:i/>
          <w:iCs/>
        </w:rPr>
        <w:t xml:space="preserve"> </w:t>
      </w:r>
      <w:r>
        <w:rPr>
          <w:i/>
          <w:iCs/>
        </w:rPr>
        <w:t xml:space="preserve">“no alternate closure path”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can be</w:t>
      </w:r>
      <w:r>
        <w:rPr>
          <w:i/>
          <w:iCs/>
        </w:rPr>
        <w:t xml:space="preserve"> </w:t>
      </w:r>
      <w:r>
        <w:rPr>
          <w:i/>
          <w:iCs/>
        </w:rPr>
        <w:t xml:space="preserve">misread. The clarification, stated plainly:</w:t>
      </w:r>
    </w:p>
    <w:p>
      <w:pPr>
        <w:pStyle w:val="BlockText"/>
      </w:pPr>
      <w:r>
        <w:rPr>
          <w:b/>
          <w:bCs/>
        </w:rPr>
        <w:t xml:space="preserve">Closure necessity names mechanism classes, never products.</w:t>
      </w:r>
      <w:r>
        <w:t xml:space="preserve"> </w:t>
      </w:r>
      <w:r>
        <w:t xml:space="preserve">“Only</w:t>
      </w:r>
      <w:r>
        <w:t xml:space="preserve"> </w:t>
      </w:r>
      <w:r>
        <w:t xml:space="preserve">port-based authentication closes IA-3”</w:t>
      </w:r>
      <w:r>
        <w:t xml:space="preserve"> </w:t>
      </w:r>
      <w:r>
        <w:t xml:space="preserve">is a claim about protocol behavior;</w:t>
      </w:r>
      <w:r>
        <w:t xml:space="preserve"> </w:t>
      </w:r>
      <w:r>
        <w:t xml:space="preserve">it is falsifiable and it names no vendor. The products named throughout</w:t>
      </w:r>
      <w:r>
        <w:t xml:space="preserve"> </w:t>
      </w:r>
      <w:r>
        <w:t xml:space="preserve">the series (InfoBlox, NPS, Cisco Catalyst SD-WAN, Entra ID, Oracle HCM</w:t>
      </w:r>
      <w:r>
        <w:t xml:space="preserve"> </w:t>
      </w:r>
      <w:r>
        <w:t xml:space="preserve">Cloud, Sentinel) are</w:t>
      </w:r>
      <w:r>
        <w:t xml:space="preserve"> </w:t>
      </w:r>
      <w:r>
        <w:rPr>
          <w:b/>
          <w:bCs/>
        </w:rPr>
        <w:t xml:space="preserve">deployed examples of the mechanism</w:t>
      </w:r>
      <w:r>
        <w:t xml:space="preserve">, chosen for</w:t>
      </w:r>
      <w:r>
        <w:t xml:space="preserve"> </w:t>
      </w:r>
      <w:r>
        <w:t xml:space="preserve">SSA’s current estate. For every layer there are FedRAMP-authorized</w:t>
      </w:r>
      <w:r>
        <w:t xml:space="preserve"> </w:t>
      </w:r>
      <w:r>
        <w:t xml:space="preserve">alternatives that satisfy the same mechanism — and per program doctrine,</w:t>
      </w:r>
      <w:r>
        <w:t xml:space="preserve"> </w:t>
      </w:r>
      <w:r>
        <w:rPr>
          <w:b/>
          <w:bCs/>
        </w:rPr>
        <w:t xml:space="preserve">the agency must select one path per layer, and the selected path becomes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 once chosen.</w:t>
      </w:r>
      <w:r>
        <w:t xml:space="preserve"> </w:t>
      </w:r>
      <w:r>
        <w:t xml:space="preserve">Multiple compliant paths exist before the choice;</w:t>
      </w:r>
      <w:r>
        <w:t xml:space="preserve"> </w:t>
      </w:r>
      <w:r>
        <w:t xml:space="preserve">exactly one exists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 (mechanism that closes the controls)</w:t>
            </w:r>
          </w:p>
        </w:tc>
        <w:tc>
          <w:tcPr/>
          <w:p>
            <w:pPr>
              <w:pStyle w:val="Compact"/>
            </w:pPr>
            <w:r>
              <w:t xml:space="preserve">Deployed example</w:t>
            </w:r>
          </w:p>
        </w:tc>
        <w:tc>
          <w:tcPr/>
          <w:p>
            <w:pPr>
              <w:pStyle w:val="Compact"/>
            </w:pPr>
            <w:r>
              <w:t xml:space="preserve">FedRAMP-authorized alternatives (verify current status on the Marketplace)</w:t>
            </w:r>
          </w:p>
        </w:tc>
        <w:tc>
          <w:tcPr/>
          <w:p>
            <w:pPr>
              <w:pStyle w:val="Compact"/>
            </w:pPr>
            <w:r>
              <w:t xml:space="preserve">What changes on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Unified DDI</w:t>
            </w:r>
            <w:r>
              <w:t xml:space="preserve"> </w:t>
            </w:r>
            <w:r>
              <w:t xml:space="preserve">— authoritative DNS/DHCP/IPAM with DNSSEC + RPZ (SC-20/21/22, CM-8)</w:t>
            </w:r>
          </w:p>
        </w:tc>
        <w:tc>
          <w:tcPr/>
          <w:p>
            <w:pPr>
              <w:pStyle w:val="Compact"/>
            </w:pPr>
            <w:r>
              <w:t xml:space="preserve">InfoBlox NIOS / BloxOne</w:t>
            </w:r>
          </w:p>
        </w:tc>
        <w:tc>
          <w:tcPr/>
          <w:p>
            <w:pPr>
              <w:pStyle w:val="Compact"/>
            </w:pPr>
            <w:r>
              <w:t xml:space="preserve">BlueCat Integrity; composite path: Azure DNS Private Resolver + Route 53/AWS IPAM + Windows DHCP</w:t>
            </w:r>
          </w:p>
        </w:tc>
        <w:tc>
          <w:tcPr/>
          <w:p>
            <w:pPr>
              <w:pStyle w:val="Compact"/>
            </w:pPr>
            <w:r>
              <w:t xml:space="preserve">Adapter/connector work per cloud; the composite path forfeits the single policy plane and re-opens the split-brain risk the whitepaper documents — compensating reconciliation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 / RADIUS</w:t>
            </w:r>
            <w:r>
              <w:t xml:space="preserve"> </w:t>
            </w:r>
            <w:r>
              <w:t xml:space="preserve">— 802.1X EAP-TLS at the port (IA-3, SC-7(3)/(5))</w:t>
            </w:r>
          </w:p>
        </w:tc>
        <w:tc>
          <w:tcPr/>
          <w:p>
            <w:pPr>
              <w:pStyle w:val="Compact"/>
            </w:pPr>
            <w:r>
              <w:t xml:space="preserve">Microsoft NPS</w:t>
            </w:r>
          </w:p>
        </w:tc>
        <w:tc>
          <w:tcPr/>
          <w:p>
            <w:pPr>
              <w:pStyle w:val="Compact"/>
            </w:pPr>
            <w:r>
              <w:t xml:space="preserve">Cisco ISE; Aruba ClearPass; Forescout</w:t>
            </w:r>
          </w:p>
        </w:tc>
        <w:tc>
          <w:tcPr/>
          <w:p>
            <w:pPr>
              <w:pStyle w:val="Compact"/>
            </w:pPr>
            <w:r>
              <w:t xml:space="preserve">Same EAP-TLS + Entra inventory pattern (Book 02 already names these); policy syntax, posture connectors, and CoA integration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SD-WAN</w:t>
            </w:r>
            <w:r>
              <w:t xml:space="preserve"> </w:t>
            </w:r>
            <w:r>
              <w:t xml:space="preserve">— active-active multipath overlay with per-app steering (SC-8, AC-4, AU-12)</w:t>
            </w:r>
          </w:p>
        </w:tc>
        <w:tc>
          <w:tcPr/>
          <w:p>
            <w:pPr>
              <w:pStyle w:val="Compac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</w:pPr>
            <w:r>
              <w:t xml:space="preserve">Palo Alto Prisma SD-WAN; Fortinet Secure SD-WAN; Versa; VMware VeloCloud</w:t>
            </w:r>
          </w:p>
        </w:tc>
        <w:tc>
          <w:tcPr/>
          <w:p>
            <w:pPr>
              <w:pStyle w:val="Compact"/>
            </w:pPr>
            <w:r>
              <w:t xml:space="preserve">Book 05 Appendix A’s boundary table and KSI evidence contracts re-derived per vendor; an M365 Cloud OnRamp equivalent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SASE / SSE</w:t>
            </w:r>
            <w:r>
              <w:t xml:space="preserve"> </w:t>
            </w:r>
            <w:r>
              <w:t xml:space="preserve">— distributed TIC 3.0 PEP (SC-7, SI-3, AC-4)</w:t>
            </w:r>
          </w:p>
        </w:tc>
        <w:tc>
          <w:tcPr/>
          <w:p>
            <w:pPr>
              <w:pStyle w:val="Compact"/>
            </w:pPr>
            <w:r>
              <w:t xml:space="preserve">Cisco Umbrella</w:t>
            </w:r>
          </w:p>
        </w:tc>
        <w:tc>
          <w:tcPr/>
          <w:p>
            <w:pPr>
              <w:pStyle w:val="Compact"/>
            </w:pPr>
            <w:r>
              <w:t xml:space="preserve">Zscaler; Netskope GovCloud; Palo Alto Prisma Access</w:t>
            </w:r>
          </w:p>
        </w:tc>
        <w:tc>
          <w:tcPr/>
          <w:p>
            <w:pPr>
              <w:pStyle w:val="Compact"/>
            </w:pPr>
            <w:r>
              <w:t xml:space="preserve">TIC 3.0 capability mapping redone at the new PEP; M365 Optimize-category exemption honored identically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  <w:r>
              <w:t xml:space="preserve"> </w:t>
            </w:r>
            <w:r>
              <w:t xml:space="preserve">— token issuance + conditional access (IA-2, AC-2)</w:t>
            </w:r>
          </w:p>
        </w:tc>
        <w:tc>
          <w:tcPr/>
          <w:p>
            <w:pPr>
              <w:pStyle w:val="Compact"/>
            </w:pPr>
            <w:r>
              <w:t xml:space="preserve">Entra ID (GCC)</w:t>
            </w:r>
          </w:p>
        </w:tc>
        <w:tc>
          <w:tcPr/>
          <w:p>
            <w:pPr>
              <w:pStyle w:val="Compact"/>
            </w:pPr>
            <w:r>
              <w:t xml:space="preserve">Okta for Government; Ping Government</w:t>
            </w:r>
          </w:p>
        </w:tc>
        <w:tc>
          <w:tcPr/>
          <w:p>
            <w:pPr>
              <w:pStyle w:val="Compact"/>
            </w:pPr>
            <w:r>
              <w:t xml:space="preserve">Entra is structurally coupled to M365 GCC — alternatives realistically front non-M365 applications rather than replace the tenant IdP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system of record</w:t>
            </w:r>
            <w:r>
              <w:t xml:space="preserve"> </w:t>
            </w:r>
            <w:r>
              <w:t xml:space="preserve">— event-driven identity SSOT (AC-2, PS-4/5, IA-4)</w:t>
            </w:r>
          </w:p>
        </w:tc>
        <w:tc>
          <w:tcPr/>
          <w:p>
            <w:pPr>
              <w:pStyle w:val="Compact"/>
            </w:pPr>
            <w:r>
              <w:t xml:space="preserve">Oracle HCM Cloud</w:t>
            </w:r>
          </w:p>
        </w:tc>
        <w:tc>
          <w:tcPr/>
          <w:p>
            <w:pPr>
              <w:pStyle w:val="Compact"/>
            </w:pPr>
            <w:r>
              <w:t xml:space="preserve">Workday Government Cloud; SAP SuccessFactors (gov)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of the doctrine changes.</w:t>
            </w:r>
            <w:r>
              <w:t xml:space="preserve"> </w:t>
            </w:r>
            <w:r>
              <w:t xml:space="preserve">Spec2-D3.1 is source-agnostic by design: the middleware adapter changes, the SCIM pipeline and every downstream derivation do not (Book 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/ evidence plane</w:t>
            </w:r>
            <w:r>
              <w:t xml:space="preserve"> </w:t>
            </w:r>
            <w:r>
              <w:t xml:space="preserve">— unified telemetry + analytics (AU-6, SI-4, IR-4)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Splunk (GovCloud); Elastic (gov offerings); Devo (gov)</w:t>
            </w:r>
          </w:p>
        </w:tc>
        <w:tc>
          <w:tcPr/>
          <w:p>
            <w:pPr>
              <w:pStyle w:val="Compact"/>
            </w:pPr>
            <w:r>
              <w:t xml:space="preserve">Detection content rewritten (KQL → SPL/EQL); the slot evidence contracts and OSCAL emitters are format-stable and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</w:t>
            </w:r>
            <w:r>
              <w:t xml:space="preserve"> </w:t>
            </w:r>
            <w:r>
              <w:t xml:space="preserve">— JIT elevation + privileged workstations (AC-5/6, IA-11)</w:t>
            </w:r>
          </w:p>
        </w:tc>
        <w:tc>
          <w:tcPr/>
          <w:p>
            <w:pPr>
              <w:pStyle w:val="Compact"/>
            </w:pPr>
            <w:r>
              <w:t xml:space="preserve">Entra PIM + PAW</w:t>
            </w:r>
          </w:p>
        </w:tc>
        <w:tc>
          <w:tcPr/>
          <w:p>
            <w:pPr>
              <w:pStyle w:val="Compact"/>
            </w:pPr>
            <w:r>
              <w:t xml:space="preserve">CyberArk (gov); BeyondTrust; Delinea</w:t>
            </w:r>
          </w:p>
        </w:tc>
        <w:tc>
          <w:tcPr/>
          <w:p>
            <w:pPr>
              <w:pStyle w:val="Compact"/>
            </w:pPr>
            <w:r>
              <w:t xml:space="preserve">JIT activation and approval routing still resolve against the Part 4 org SSOT; workflow integration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lifecycle</w:t>
            </w:r>
            <w:r>
              <w:t xml:space="preserve"> </w:t>
            </w:r>
            <w:r>
              <w:t xml:space="preserve">— CLM bound to the DNS SSOT (IA-5(2), SC-17)</w:t>
            </w:r>
          </w:p>
        </w:tc>
        <w:tc>
          <w:tcPr/>
          <w:p>
            <w:pPr>
              <w:pStyle w:val="Compact"/>
            </w:pPr>
            <w:r>
              <w:t xml:space="preserve">Keyfactor / Sectigo (named in Part 1)</w:t>
            </w:r>
          </w:p>
        </w:tc>
        <w:tc>
          <w:tcPr/>
          <w:p>
            <w:pPr>
              <w:pStyle w:val="Compact"/>
            </w:pPr>
            <w:r>
              <w:t xml:space="preserve">Venafi; AppViewX</w:t>
            </w:r>
          </w:p>
        </w:tc>
        <w:tc>
          <w:tcPr/>
          <w:p>
            <w:pPr>
              <w:pStyle w:val="Compact"/>
            </w:pPr>
            <w:r>
              <w:t xml:space="preserve">The DNS-name-as-SSOT binding pattern is the invariant; connector estate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MDM / posture</w:t>
            </w:r>
            <w:r>
              <w:t xml:space="preserve"> </w:t>
            </w:r>
            <w:r>
              <w:t xml:space="preserve">— compliance signal into NAC + CA (CM-2/6)</w:t>
            </w:r>
          </w:p>
        </w:tc>
        <w:tc>
          <w:tcPr/>
          <w:p>
            <w:pPr>
              <w:pStyle w:val="Compac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</w:pPr>
            <w:r>
              <w:t xml:space="preserve">Omnissa Workspace ONE (gov); Jamf (macOS estate)</w:t>
            </w:r>
          </w:p>
        </w:tc>
        <w:tc>
          <w:tcPr/>
          <w:p>
            <w:pPr>
              <w:pStyle w:val="Compact"/>
            </w:pPr>
            <w:r>
              <w:t xml:space="preserve">SCEP profile delivery and a compliance API the RADIUS layer can query are the invariants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deliberately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integrated here:</w:t>
      </w:r>
      <w:r>
        <w:t xml:space="preserve"> </w:t>
      </w:r>
      <w:r>
        <w:t xml:space="preserve">the NGTP procurement bid</w:t>
      </w:r>
      <w:r>
        <w:t xml:space="preserve"> </w:t>
      </w:r>
      <w:r>
        <w:t xml:space="preserve">matrices (Vendor A–F). Those are source-selection-sensitive acquisition</w:t>
      </w:r>
      <w:r>
        <w:t xml:space="preserve"> </w:t>
      </w:r>
      <w:r>
        <w:t xml:space="preserve">documents; folding them into an architecture corpus would compromise the</w:t>
      </w:r>
      <w:r>
        <w:t xml:space="preserve"> </w:t>
      </w:r>
      <w:r>
        <w:t xml:space="preserve">procurement. This table serves the same leadership question (</w:t>
      </w:r>
      <w:r>
        <w:t xml:space="preserve">“are there</w:t>
      </w:r>
      <w:r>
        <w:t xml:space="preserve"> </w:t>
      </w:r>
      <w:r>
        <w:t xml:space="preserve">other ways to comply?”</w:t>
      </w:r>
      <w:r>
        <w:t xml:space="preserve">) from public, non-competitive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X0b0b88e7bcf1ecd8dc5e049fc388173f4bf749d"/>
    <w:p>
      <w:pPr>
        <w:pStyle w:val="Heading2"/>
      </w:pPr>
      <w:r>
        <w:t xml:space="preserve">GCC-Moderate Boundary Gaps — Where the Compensating-Control Work Lives</w:t>
      </w:r>
    </w:p>
    <w:p>
      <w:pPr>
        <w:pStyle w:val="FirstParagraph"/>
      </w:pPr>
      <w:r>
        <w:t xml:space="preserve">The SSA review asked for a</w:t>
      </w:r>
      <w:r>
        <w:t xml:space="preserve"> </w:t>
      </w:r>
      <w:r>
        <w:t xml:space="preserve">“compensating control matrix for GCC-Moderate</w:t>
      </w:r>
      <w:r>
        <w:t xml:space="preserve"> </w:t>
      </w:r>
      <w:r>
        <w:t xml:space="preserve">feature gaps.”</w:t>
      </w:r>
      <w:r>
        <w:t xml:space="preserve"> </w:t>
      </w:r>
      <w:r>
        <w:rPr>
          <w:b/>
          <w:bCs/>
        </w:rPr>
        <w:t xml:space="preserve">That artifact exists and is maintained outside this</w:t>
      </w:r>
      <w:r>
        <w:rPr>
          <w:b/>
          <w:bCs/>
        </w:rPr>
        <w:t xml:space="preserve"> </w:t>
      </w:r>
      <w:r>
        <w:rPr>
          <w:b/>
          <w:bCs/>
        </w:rPr>
        <w:t xml:space="preserve">roadmap</w:t>
      </w:r>
      <w:r>
        <w:t xml:space="preserve">, in the CSI Team’s GCC Moderate boundary-analysis workstream (the</w:t>
      </w:r>
      <w:r>
        <w:t xml:space="preserve"> </w:t>
      </w:r>
      <w:r>
        <w:t xml:space="preserve">SCuBA / FedRAMP boundary-limitations briefs and their gap registers):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machine-readable telemetry-gap register</w:t>
      </w:r>
      <w:r>
        <w:t xml:space="preserve"> </w:t>
      </w:r>
      <w:r>
        <w:t xml:space="preserve">— the signal source of</w:t>
      </w:r>
      <w:r>
        <w:t xml:space="preserve"> </w:t>
      </w:r>
      <w:r>
        <w:t xml:space="preserve">truth: every telemetry and feature signal unavailable at the GCC Moderate</w:t>
      </w:r>
      <w:r>
        <w:t xml:space="preserve"> </w:t>
      </w:r>
      <w:r>
        <w:t xml:space="preserve">service level, with per-signal fix coverage.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fix-coverage matrix</w:t>
      </w:r>
      <w:r>
        <w:t xml:space="preserve"> </w:t>
      </w:r>
      <w:r>
        <w:t xml:space="preserve">regenerated automatically from that register on</w:t>
      </w:r>
      <w:r>
        <w:t xml:space="preserve"> </w:t>
      </w:r>
      <w:r>
        <w:t xml:space="preserve">every change, so the matrix cannot drift from the register it summarizes.</w:t>
      </w:r>
    </w:p>
    <w:p>
      <w:pPr>
        <w:pStyle w:val="Compact"/>
        <w:numPr>
          <w:ilvl w:val="0"/>
          <w:numId w:val="1002"/>
        </w:numPr>
      </w:pPr>
      <w:r>
        <w:t xml:space="preserve">The boundary analysis’s honest finding, restated here so this roadmap</w:t>
      </w:r>
      <w:r>
        <w:t xml:space="preserve"> </w:t>
      </w:r>
      <w:r>
        <w:t xml:space="preserve">cannot be read as contradicting it:</w:t>
      </w:r>
      <w:r>
        <w:t xml:space="preserve"> </w:t>
      </w:r>
      <w:r>
        <w:rPr>
          <w:b/>
          <w:bCs/>
        </w:rPr>
        <w:t xml:space="preserve">full compensation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</w:t>
      </w:r>
      <w:r>
        <w:t xml:space="preserve"> </w:t>
      </w:r>
      <w:r>
        <w:t xml:space="preserve">for every gap at GCC Moderate. Gaps divide into compensable</w:t>
      </w:r>
      <w:r>
        <w:t xml:space="preserve"> </w:t>
      </w:r>
      <w:r>
        <w:t xml:space="preserve">(compensating control documented), partially compensable (residual risk</w:t>
      </w:r>
      <w:r>
        <w:t xml:space="preserve"> </w:t>
      </w:r>
      <w:r>
        <w:t xml:space="preserve">accepted and registered), and non-compensable (candidate input to any</w:t>
      </w:r>
      <w:r>
        <w:t xml:space="preserve"> </w:t>
      </w:r>
      <w:r>
        <w:t xml:space="preserve">future boundary-variance discussion).</w:t>
      </w:r>
    </w:p>
    <w:p>
      <w:pPr>
        <w:pStyle w:val="Compact"/>
        <w:numPr>
          <w:ilvl w:val="0"/>
          <w:numId w:val="1002"/>
        </w:numPr>
      </w:pPr>
      <w:r>
        <w:t xml:space="preserve">Boundary</w:t>
      </w:r>
      <w:r>
        <w:t xml:space="preserve"> </w:t>
      </w:r>
      <w:r>
        <w:rPr>
          <w:i/>
          <w:iCs/>
        </w:rPr>
        <w:t xml:space="preserve">expansion</w:t>
      </w:r>
      <w:r>
        <w:t xml:space="preserve"> </w:t>
      </w:r>
      <w:r>
        <w:t xml:space="preserve">analysis (GCC High and above) deliberately lives in</w:t>
      </w:r>
      <w:r>
        <w:t xml:space="preserve"> </w:t>
      </w:r>
      <w:r>
        <w:t xml:space="preserve">that workstream, not in this series — the series is scoped</w:t>
      </w:r>
      <w:r>
        <w:t xml:space="preserve"> </w:t>
      </w:r>
      <w:r>
        <w:rPr>
          <w:b/>
          <w:bCs/>
        </w:rPr>
        <w:t xml:space="preserve">FedRAMP</w:t>
      </w:r>
      <w:r>
        <w:rPr>
          <w:b/>
          <w:bCs/>
        </w:rPr>
        <w:t xml:space="preserve"> </w:t>
      </w:r>
      <w:r>
        <w:rPr>
          <w:b/>
          <w:bCs/>
        </w:rPr>
        <w:t xml:space="preserve">Moderate only</w:t>
      </w:r>
      <w:r>
        <w:t xml:space="preserve">, and boundary-variance decisions are an OIS/CIO</w:t>
      </w:r>
      <w:r>
        <w:t xml:space="preserve"> </w:t>
      </w:r>
      <w:r>
        <w:t xml:space="preserve">governance matter informed by the registers.</w:t>
      </w:r>
    </w:p>
    <w:p>
      <w:pPr>
        <w:pStyle w:val="FirstParagraph"/>
      </w:pPr>
      <w:r>
        <w:t xml:space="preserve">This roadmap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that workstream rather than duplicating it. The KSI</w:t>
      </w:r>
      <w:r>
        <w:t xml:space="preserve"> </w:t>
      </w:r>
      <w:r>
        <w:t xml:space="preserve">consequence is already wired: the ScuBA-based rules (KSI-001..010) carry</w:t>
      </w:r>
      <w:r>
        <w:t xml:space="preserve"> </w:t>
      </w:r>
      <w:r>
        <w:t xml:space="preserve">ScubaDrift dispositions that distinguish governed exceptions from actionable</w:t>
      </w:r>
      <w:r>
        <w:t xml:space="preserve"> </w:t>
      </w:r>
      <w:r>
        <w:t xml:space="preserve">drift — a governed exception backed by the gap register is evidence, not a</w:t>
      </w:r>
      <w:r>
        <w:t xml:space="preserve"> </w:t>
      </w:r>
      <w:r>
        <w:t xml:space="preserve">finding.</w:t>
      </w:r>
    </w:p>
    <w:p>
      <w:r>
        <w:pict>
          <v:rect style="width:0;height:1.5pt" o:hralign="center" o:hrstd="t" o:hr="t"/>
        </w:pict>
      </w:r>
    </w:p>
    <w:bookmarkEnd w:id="16"/>
    <w:bookmarkStart w:id="20" w:name="Xd60b379927d8e5c0e3fc16a0f1c1fd2c6486aa6"/>
    <w:p>
      <w:pPr>
        <w:pStyle w:val="Heading2"/>
      </w:pPr>
      <w:r>
        <w:t xml:space="preserve">OrgComp Series Control Closure (Parts 1–19, All Delivered)</w:t>
      </w:r>
    </w:p>
    <w:bookmarkStart w:id="17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7"/>
    <w:bookmarkStart w:id="18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8"/>
    <w:bookmarkStart w:id="19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p>
      <w:pPr>
        <w:pStyle w:val="BodyText"/>
      </w:pPr>
      <w:r>
        <w:t xml:space="preserve">The maturity-graded status of the adapter and the OSCAL bundle — Authored /</w:t>
      </w:r>
      <w:r>
        <w:t xml:space="preserve"> </w:t>
      </w:r>
      <w:r>
        <w:t xml:space="preserve">Ref-impl / Deployed / Assessed, with the CR26-pending and independent-SCA</w:t>
      </w:r>
      <w:r>
        <w:t xml:space="preserve"> </w:t>
      </w:r>
      <w:r>
        <w:t xml:space="preserve">caveat every component carries — is maintained as the single current copy in</w:t>
      </w:r>
      <w:r>
        <w:t xml:space="preserve"> </w:t>
      </w:r>
      <w:r>
        <w:rPr>
          <w:rStyle w:val="VerbatimChar"/>
        </w:rPr>
        <w:t xml:space="preserve">Vol_0_Book_00_OrgComp_Executive_Summary.qmd</w:t>
      </w:r>
      <w:r>
        <w:t xml:space="preserve">, section</w:t>
      </w:r>
      <w:r>
        <w:t xml:space="preserve"> </w:t>
      </w:r>
      <w:r>
        <w:t xml:space="preserve">“Conformance Adapter</w:t>
      </w:r>
      <w:r>
        <w:t xml:space="preserve"> </w:t>
      </w:r>
      <w:r>
        <w:t xml:space="preserve">and OSCAL Emitter Framework.”</w:t>
      </w:r>
      <w:r>
        <w:t xml:space="preserve"> </w:t>
      </w:r>
      <w:r>
        <w:t xml:space="preserve">This roadmap does not duplicate that table; the</w:t>
      </w:r>
      <w:r>
        <w:t xml:space="preserve"> </w:t>
      </w:r>
      <w:r>
        <w:t xml:space="preserve">Part-level detail below (which series Part binds which evidence slot, and the</w:t>
      </w:r>
      <w:r>
        <w:t xml:space="preserve"> </w:t>
      </w:r>
      <w:r>
        <w:t xml:space="preserve">internal-rule-set activation status) is this document’s own contribution.</w:t>
      </w:r>
    </w:p>
    <w:bookmarkStart w:id="21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21"/>
    <w:bookmarkStart w:id="22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3" w:name="sequenced-implementation-plan"/>
    <w:p>
      <w:pPr>
        <w:pStyle w:val="Heading2"/>
      </w:pPr>
      <w:r>
        <w:t xml:space="preserve">Sequenced Implementation Plan</w:t>
      </w:r>
    </w:p>
    <w:bookmarkStart w:id="24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3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4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5"/>
        </w:numPr>
      </w:pPr>
      <w:r>
        <w:t xml:space="preserve">Conformance Adapter surface slots 1–4 bound to OrgComp evidence</w:t>
      </w:r>
    </w:p>
    <w:bookmarkEnd w:id="24"/>
    <w:bookmarkStart w:id="25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6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7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8"/>
        </w:numPr>
      </w:pPr>
      <w:r>
        <w:t xml:space="preserve">KSI-011–014 mapping confidence upgraded low → high (VER contract via Part 15 + slot-06)</w:t>
      </w:r>
    </w:p>
    <w:bookmarkEnd w:id="25"/>
    <w:bookmarkStart w:id="26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9"/>
        </w:numPr>
      </w:pPr>
      <w:r>
        <w:t xml:space="preserve">OSCAL Emitter extended to produce AR with KSI verdicts</w:t>
      </w:r>
      <w:r>
        <w:t xml:space="preserve"> </w:t>
      </w:r>
      <w:r>
        <w:t xml:space="preserve">(the host repo’s</w:t>
      </w:r>
      <w:r>
        <w:t xml:space="preserve"> </w:t>
      </w:r>
      <w:r>
        <w:rPr>
          <w:rStyle w:val="VerbatimChar"/>
        </w:rPr>
        <w:t xml:space="preserve">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&lt;engine&gt;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10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11"/>
        </w:numPr>
      </w:pPr>
      <w:r>
        <w:t xml:space="preserve">CR26 rules for SR/PM families (KSI-015 KSI-SCR-MIT + KSI-016 KSI-SCR-MON → active)</w:t>
      </w:r>
    </w:p>
    <w:bookmarkEnd w:id="26"/>
    <w:bookmarkStart w:id="27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2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3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4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&lt;engine&gt; oscal bundle</w:t>
      </w:r>
      <w:r>
        <w:t xml:space="preserve">; BOD 26-04 milestones wired)</w:t>
      </w:r>
    </w:p>
    <w:bookmarkEnd w:id="27"/>
    <w:bookmarkStart w:id="28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5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6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7"/>
        </w:numPr>
      </w:pPr>
      <w:r>
        <w:t xml:space="preserve">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9"/>
        </w:numPr>
      </w:pPr>
      <w:r>
        <w:t xml:space="preserve">All 10 KSI themes now have local-rule coverage (zero-gap themes: none)</w:t>
      </w:r>
    </w:p>
    <w:bookmarkEnd w:id="28"/>
    <w:bookmarkStart w:id="29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20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21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2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3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29 internal KSI-decomposition rules now evaluable at high confidence — zero scaffold rules remain</w:t>
      </w:r>
    </w:p>
    <w:p>
      <w:pPr>
        <w:pStyle w:val="Compact"/>
        <w:numPr>
          <w:ilvl w:val="0"/>
          <w:numId w:val="1025"/>
        </w:numPr>
      </w:pPr>
      <w:r>
        <w:t xml:space="preserve">Book_00 Executive Summary updated to fifteen-book series</w:t>
      </w:r>
    </w:p>
    <w:bookmarkEnd w:id="29"/>
    <w:bookmarkStart w:id="30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6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7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of the series’ internal KSI decomposition self-assessed satisfied, 0 open in</w:t>
      </w:r>
      <w:r>
        <w:t xml:space="preserve"> </w:t>
      </w:r>
      <w:r>
        <w:t xml:space="preserve">that rule set, 0 POA&amp;M items, 8 evidence slots bound —</w:t>
      </w:r>
      <w:r>
        <w:t xml:space="preserve"> </w:t>
      </w:r>
      <w:r>
        <w:rPr>
          <w:b/>
          <w:bCs/>
        </w:rPr>
        <w:t xml:space="preserve">pending CR26</w:t>
      </w:r>
      <w:r>
        <w:rPr>
          <w:b/>
          <w:bCs/>
        </w:rPr>
        <w:t xml:space="preserve"> </w:t>
      </w:r>
      <w:r>
        <w:rPr>
          <w:b/>
          <w:bCs/>
        </w:rPr>
        <w:t xml:space="preserve">rule-ID reconciliation and independent SCA</w:t>
      </w:r>
      <w:r>
        <w:t xml:space="preserve"> </w:t>
      </w:r>
      <w:r>
        <w:t xml:space="preserve">(POA&amp;M expected non-empty once</w:t>
      </w:r>
      <w:r>
        <w:t xml:space="preserve"> </w:t>
      </w:r>
      <w:r>
        <w:t xml:space="preserve">mapped/assessed; see the KSI-count reconciliation open item above)</w:t>
      </w:r>
    </w:p>
    <w:p>
      <w:pPr>
        <w:pStyle w:val="Compact"/>
        <w:numPr>
          <w:ilvl w:val="0"/>
          <w:numId w:val="1028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&lt;engine&gt;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30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31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2"/>
        </w:numPr>
      </w:pPr>
      <w:r>
        <w:t xml:space="preserve">Book_00 Executive Summary updated to sixteen-book series; Phase 6 roadmap added</w:t>
      </w:r>
    </w:p>
    <w:bookmarkEnd w:id="30"/>
    <w:bookmarkStart w:id="31" w:name="X9a778112191957761f95d8c82818c114f2d4447"/>
    <w:p>
      <w:pPr>
        <w:pStyle w:val="Heading3"/>
      </w:pPr>
      <w:r>
        <w:t xml:space="preserve">Phase 7 — Agency Authorization Decision (SSA AO)</w:t>
      </w:r>
    </w:p>
    <w:p>
      <w:pPr>
        <w:pStyle w:val="Compact"/>
        <w:numPr>
          <w:ilvl w:val="0"/>
          <w:numId w:val="1033"/>
        </w:numPr>
      </w:pPr>
      <w:r>
        <w:t xml:space="preserve">Authorization package presented to the SSA AO for the RMF authorization decision; inherited CSOs tracked against their own 20x Class C timelines (window opens Aug 31, 2026)</w:t>
      </w:r>
    </w:p>
    <w:p>
      <w:pPr>
        <w:pStyle w:val="Compact"/>
        <w:numPr>
          <w:ilvl w:val="0"/>
          <w:numId w:val="1034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5"/>
        </w:numPr>
      </w:pPr>
      <w:r>
        <w:t xml:space="preserve">Agency ATO issued by the SSA AO; leveraged FedRAMP authorizations documented as inherited controls in the SSP</w:t>
      </w:r>
    </w:p>
    <w:bookmarkEnd w:id="31"/>
    <w:bookmarkStart w:id="32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6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7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&lt;engine&gt;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8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9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40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recommendations-by-gap"/>
    <w:p>
      <w:pPr>
        <w:pStyle w:val="Heading2"/>
      </w:pPr>
      <w:r>
        <w:t xml:space="preserve">Technology Recommendations by Gap</w:t>
      </w:r>
    </w:p>
    <w:p>
      <w:pPr>
        <w:pStyle w:val="FirstParagraph"/>
      </w:pPr>
      <w:r>
        <w:t xml:space="preserve">The per-gap technology table (SBOM generation, VDR format, VER submission,</w:t>
      </w:r>
      <w:r>
        <w:t xml:space="preserve"> </w:t>
      </w:r>
      <w:r>
        <w:t xml:space="preserve">OSCAL AP/AR, plus the PII-mapping and PM-metrics rows added since) is</w:t>
      </w:r>
      <w:r>
        <w:t xml:space="preserve"> </w:t>
      </w:r>
      <w:r>
        <w:t xml:space="preserve">maintained as the single current copy in</w:t>
      </w:r>
      <w:r>
        <w:t xml:space="preserve"> </w:t>
      </w:r>
      <w:r>
        <w:rPr>
          <w:rStyle w:val="VerbatimChar"/>
        </w:rPr>
        <w:t xml:space="preserve">Vol_0_Book_00_OrgComp_Executive_Summary.qmd</w:t>
      </w:r>
      <w:r>
        <w:t xml:space="preserve">, section</w:t>
      </w:r>
      <w:r>
        <w:t xml:space="preserve"> </w:t>
      </w:r>
      <w:r>
        <w:t xml:space="preserve">“Technology</w:t>
      </w:r>
      <w:r>
        <w:t xml:space="preserve"> </w:t>
      </w:r>
      <w:r>
        <w:t xml:space="preserve">Recommendations by Gap.”</w:t>
      </w:r>
      <w:r>
        <w:t xml:space="preserve"> </w:t>
      </w:r>
      <w:r>
        <w:t xml:space="preserve">The AT-4 evidence-export path it omits is documented</w:t>
      </w:r>
      <w:r>
        <w:t xml:space="preserve"> </w:t>
      </w:r>
      <w:r>
        <w:t xml:space="preserve">in full in</w:t>
      </w:r>
      <w:r>
        <w:t xml:space="preserve"> </w:t>
      </w:r>
      <w:r>
        <w:rPr>
          <w:rStyle w:val="VerbatimChar"/>
        </w:rPr>
        <w:t xml:space="preserve">Vol_IV_Book_06_OrgComp_Authorization_Package_ConMon.qmd</w:t>
      </w:r>
      <w:r>
        <w:t xml:space="preserve">, section</w:t>
      </w:r>
      <w:r>
        <w:t xml:space="preserve"> </w:t>
      </w:r>
      <w:r>
        <w:t xml:space="preserve">5.3,</w:t>
      </w:r>
      <w:r>
        <w:t xml:space="preserve"> </w:t>
      </w:r>
      <w:r>
        <w:t xml:space="preserve">“AT-4 Evidence Contract Currency.”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working artifact of the governance-engine program.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2026-07-27T14:06:46Z</dcterms:created>
  <dcterms:modified xsi:type="dcterms:W3CDTF">2026-07-27T14:06:46Z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