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6.png" ContentType="image/png"/>
  <Override PartName="/word/media/rId9.png" ContentType="image/png"/>
  <Override PartName="/word/media/rId13.png" ContentType="image/png"/>
  <Override PartName="/word/media/rId5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about-this-document"/>
    <w:p>
      <w:pPr>
        <w:pStyle w:val="Heading2"/>
      </w:pPr>
      <w:r>
        <w:t xml:space="preserve">About This Document</w:t>
      </w:r>
    </w:p>
    <w:p>
      <w:pPr>
        <w:pStyle w:val="FirstParagraph"/>
      </w:pPr>
      <w:r>
        <w:t xml:space="preserve">This series was developed by the</w:t>
      </w:r>
      <w:r>
        <w:t xml:space="preserve"> </w:t>
      </w:r>
      <w:r>
        <w:rPr>
          <w:b/>
          <w:bCs/>
        </w:rPr>
        <w:t xml:space="preserve">CSI Team (Cloud Services Infrastructure)</w:t>
      </w:r>
      <w:r>
        <w:t xml:space="preserve"> </w:t>
      </w:r>
      <w:r>
        <w:t xml:space="preserve">as a technical planning document for SSA’s FedRAMP 20x compliance transition. It represents an SSA-wide analysis of the architectural work required to satisfy NIST SP 800-53 Rev 5 controls and FedRAMP 20x Key Security Indicators under the Consolidated Rules effective January 1, 2027.</w:t>
      </w:r>
    </w:p>
    <w:p>
      <w:pPr>
        <w:pStyle w:val="BodyText"/>
      </w:pPr>
      <w:r>
        <w:rPr>
          <w:b/>
          <w:bCs/>
        </w:rPr>
        <w:t xml:space="preserve">What this is:</w:t>
      </w:r>
      <w:r>
        <w:t xml:space="preserve"> </w:t>
      </w:r>
      <w:r>
        <w:t xml:space="preserve">A comprehensive technical roadmap — mapping twenty implementation areas to specific control families, identifying closure mechanisms, and sequencing the work against the regulatory timeline. It is an attempt at a true enterprise-wide view, not a CSI-scoped one.</w:t>
      </w:r>
    </w:p>
    <w:p>
      <w:pPr>
        <w:pStyle w:val="BodyText"/>
      </w:pPr>
      <w:r>
        <w:rPr>
          <w:b/>
          <w:bCs/>
        </w:rPr>
        <w:t xml:space="preserve">What this is not:</w:t>
      </w:r>
      <w:r>
        <w:t xml:space="preserve"> </w:t>
      </w:r>
      <w:r>
        <w:t xml:space="preserve">A final implementation mandate, an organizational assignment of responsibilities, or a procurement decision. The CSI Team does not hold authority over the full scope of what this series describes. Security policy authority, control ownership, budget authority, and implementation accountability span multiple organizations and must be established through a formal alignment process.</w:t>
      </w:r>
    </w:p>
    <w:p>
      <w:pPr>
        <w:pStyle w:val="BodyText"/>
      </w:pPr>
      <w:r>
        <w:rPr>
          <w:b/>
          <w:bCs/>
        </w:rPr>
        <w:t xml:space="preserve">OIS and security leadership:</w:t>
      </w:r>
      <w:r>
        <w:t xml:space="preserve"> </w:t>
      </w:r>
      <w:r>
        <w:t xml:space="preserve">The Office of Information Security (OIS) will have substantial influence over the security architecture, policy framework, and control ownership decisions described in this series. This document has not yet been reviewed by OIS. That review — and OIS’s active participation in shaping the implementation approach — is a required step before any commitments are made.</w:t>
      </w:r>
    </w:p>
    <w:p>
      <w:pPr>
        <w:pStyle w:val="BodyText"/>
      </w:pPr>
      <w:r>
        <w:rPr>
          <w:b/>
          <w:bCs/>
        </w:rPr>
        <w:t xml:space="preserve">Expected revision process:</w:t>
      </w:r>
      <w:r>
        <w:t xml:space="preserve"> </w:t>
      </w:r>
      <w:r>
        <w:t xml:space="preserve">This roadmap will necessarily be modified as it is reviewed by:</w:t>
      </w:r>
    </w:p>
    <w:p>
      <w:pPr>
        <w:pStyle w:val="Compact"/>
        <w:numPr>
          <w:ilvl w:val="0"/>
          <w:numId w:val="1001"/>
        </w:numPr>
      </w:pPr>
      <w:r>
        <w:rPr>
          <w:b/>
          <w:bCs/>
        </w:rPr>
        <w:t xml:space="preserve">CIO Office</w:t>
      </w:r>
      <w:r>
        <w:t xml:space="preserve"> </w:t>
      </w:r>
      <w:r>
        <w:t xml:space="preserve">— strategic direction, enterprise architecture alignment, and prioritization</w:t>
      </w:r>
    </w:p>
    <w:p>
      <w:pPr>
        <w:pStyle w:val="Compact"/>
        <w:numPr>
          <w:ilvl w:val="0"/>
          <w:numId w:val="1001"/>
        </w:numPr>
      </w:pPr>
      <w:r>
        <w:rPr>
          <w:b/>
          <w:bCs/>
        </w:rPr>
        <w:t xml:space="preserve">Office of Information Security (OIS)</w:t>
      </w:r>
      <w:r>
        <w:t xml:space="preserve"> </w:t>
      </w:r>
      <w:r>
        <w:t xml:space="preserve">— security policy, control ownership, assessment methodology, and risk acceptance authority</w:t>
      </w:r>
    </w:p>
    <w:p>
      <w:pPr>
        <w:pStyle w:val="Compact"/>
        <w:numPr>
          <w:ilvl w:val="0"/>
          <w:numId w:val="1001"/>
        </w:numPr>
      </w:pPr>
      <w:r>
        <w:rPr>
          <w:b/>
          <w:bCs/>
        </w:rPr>
        <w:t xml:space="preserve">Organizational leaders</w:t>
      </w:r>
      <w:r>
        <w:t xml:space="preserve"> </w:t>
      </w:r>
      <w:r>
        <w:t xml:space="preserve">— operational feasibility, resource capacity, and accountability mapping across SSA’s organizational units</w:t>
      </w:r>
    </w:p>
    <w:p>
      <w:pPr>
        <w:pStyle w:val="Compact"/>
        <w:numPr>
          <w:ilvl w:val="0"/>
          <w:numId w:val="1001"/>
        </w:numPr>
      </w:pPr>
      <w:r>
        <w:rPr>
          <w:b/>
          <w:bCs/>
        </w:rPr>
        <w:t xml:space="preserve">Program offices</w:t>
      </w:r>
      <w:r>
        <w:t xml:space="preserve"> </w:t>
      </w:r>
      <w:r>
        <w:t xml:space="preserve">— system-specific applicability of the recommended controls and implementation sequencing</w:t>
      </w:r>
    </w:p>
    <w:p>
      <w:pPr>
        <w:pStyle w:val="FirstParagraph"/>
      </w:pPr>
      <w:r>
        <w:rPr>
          <w:b/>
          <w:bCs/>
        </w:rPr>
        <w:t xml:space="preserve">The compliance timeline is not advisory.</w:t>
      </w:r>
      <w:r>
        <w:t xml:space="preserve"> </w:t>
      </w:r>
      <w:r>
        <w:t xml:space="preserve">The FedRAMP 20x mandatory date of January 1, 2027 is a regulatory requirement, not an internal target. The architectural gap this series describes is real, and the window to close it is closing. This roadmap does not reduce that urgency — it maps the path. Closing it requires alignment and action across all of the organizations named above.</w:t>
      </w:r>
    </w:p>
    <w:p>
      <w:r>
        <w:pict>
          <v:rect style="width:0;height:1.5pt" o:hralign="center" o:hrstd="t" o:hr="t"/>
        </w:pict>
      </w:r>
    </w:p>
    <w:p>
      <w:pPr>
        <w:pStyle w:val="FirstParagraph"/>
      </w:pPr>
      <w:r>
        <w:rPr>
          <w:b/>
          <w:bCs/>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
          <w:bCs/>
        </w:rPr>
        <w:t xml:space="preserve">Books 01–04 — Substrate</w:t>
      </w:r>
      <w:r>
        <w:t xml:space="preserve"> </w:t>
      </w:r>
      <w:r>
        <w:t xml:space="preserve">(naming, identity, and trust foundations):</w:t>
      </w:r>
    </w:p>
    <w:p>
      <w:pPr>
        <w:pStyle w:val="Compact"/>
        <w:numPr>
          <w:ilvl w:val="0"/>
          <w:numId w:val="1002"/>
        </w:numPr>
      </w:pPr>
      <w:r>
        <w:rPr>
          <w:b/>
          <w:bCs/>
        </w:rPr>
        <w:t xml:space="preserve">Book 01</w:t>
      </w:r>
      <w:r>
        <w:t xml:space="preserve"> </w:t>
      </w:r>
      <w:r>
        <w:t xml:space="preserve">— DDI/IPAM naming-and-addressing plane — 16 NIST SP 800-53 Rev 5 controls</w:t>
      </w:r>
    </w:p>
    <w:p>
      <w:pPr>
        <w:pStyle w:val="Compact"/>
        <w:numPr>
          <w:ilvl w:val="0"/>
          <w:numId w:val="1002"/>
        </w:numPr>
      </w:pPr>
      <w:r>
        <w:rPr>
          <w:b/>
          <w:bCs/>
        </w:rPr>
        <w:t xml:space="preserve">Book 02</w:t>
      </w:r>
      <w:r>
        <w:t xml:space="preserve"> </w:t>
      </w:r>
      <w:r>
        <w:t xml:space="preserve">— Network Access Control (802.1X EAP-TLS, RADIUS, device identity at the port)</w:t>
      </w:r>
    </w:p>
    <w:p>
      <w:pPr>
        <w:pStyle w:val="Compact"/>
        <w:numPr>
          <w:ilvl w:val="0"/>
          <w:numId w:val="1002"/>
        </w:numPr>
      </w:pPr>
      <w:r>
        <w:rPr>
          <w:b/>
          <w:bCs/>
        </w:rPr>
        <w:t xml:space="preserve">Book 03</w:t>
      </w:r>
      <w:r>
        <w:t xml:space="preserve"> </w:t>
      </w:r>
      <w:r>
        <w:t xml:space="preserve">— Certificates &amp; Tokens — the cryptographic identity layer every session-less architecture depends on</w:t>
      </w:r>
    </w:p>
    <w:p>
      <w:pPr>
        <w:pStyle w:val="Compact"/>
        <w:numPr>
          <w:ilvl w:val="0"/>
          <w:numId w:val="1002"/>
        </w:numPr>
      </w:pPr>
      <w:r>
        <w:rPr>
          <w:b/>
          <w:bCs/>
        </w:rPr>
        <w:t xml:space="preserve">Book 04</w:t>
      </w:r>
      <w:r>
        <w:t xml:space="preserve"> </w:t>
      </w:r>
      <w:r>
        <w:t xml:space="preserve">— HRIT Identity &amp; Org SSOT — the HR system of record whose worker records underpin every token, account, and access decision</w:t>
      </w:r>
    </w:p>
    <w:p>
      <w:pPr>
        <w:pStyle w:val="FirstParagraph"/>
      </w:pPr>
      <w:r>
        <w:rPr>
          <w:b/>
          <w:bCs/>
        </w:rPr>
        <w:t xml:space="preserve">Books 05–09 — Modernization Tracks</w:t>
      </w:r>
      <w:r>
        <w:t xml:space="preserve"> </w:t>
      </w:r>
      <w:r>
        <w:t xml:space="preserve">— closing</w:t>
      </w:r>
      <w:r>
        <w:t xml:space="preserve"> </w:t>
      </w:r>
      <w:r>
        <w:rPr>
          <w:b/>
          <w:bCs/>
        </w:rPr>
        <w:t xml:space="preserve">34 distinct NIST SP 800-53 Rev 5 controls</w:t>
      </w:r>
      <w:r>
        <w:t xml:space="preserve"> </w:t>
      </w:r>
      <w:r>
        <w:t xml:space="preserve">across the original six tracks:</w:t>
      </w:r>
    </w:p>
    <w:p>
      <w:pPr>
        <w:pStyle w:val="Compact"/>
        <w:numPr>
          <w:ilvl w:val="0"/>
          <w:numId w:val="1003"/>
        </w:numPr>
      </w:pPr>
      <w:r>
        <w:rPr>
          <w:b/>
          <w:bCs/>
        </w:rPr>
        <w:t xml:space="preserve">Book 05</w:t>
      </w:r>
      <w:r>
        <w:t xml:space="preserve"> </w:t>
      </w:r>
      <w:r>
        <w:t xml:space="preserve">— Network and Identity Modernization (Entra ID, ZTNA, Active Governance)</w:t>
      </w:r>
    </w:p>
    <w:p>
      <w:pPr>
        <w:pStyle w:val="Compact"/>
        <w:numPr>
          <w:ilvl w:val="0"/>
          <w:numId w:val="1003"/>
        </w:numPr>
      </w:pPr>
      <w:r>
        <w:rPr>
          <w:b/>
          <w:bCs/>
        </w:rPr>
        <w:t xml:space="preserve">Book 06</w:t>
      </w:r>
      <w:r>
        <w:t xml:space="preserve"> </w:t>
      </w:r>
      <w:r>
        <w:t xml:space="preserve">— Federal Telecommunications Modernization (SD-WAN, SASE)</w:t>
      </w:r>
    </w:p>
    <w:p>
      <w:pPr>
        <w:pStyle w:val="Compact"/>
        <w:numPr>
          <w:ilvl w:val="0"/>
          <w:numId w:val="1003"/>
        </w:numPr>
      </w:pPr>
      <w:r>
        <w:rPr>
          <w:b/>
          <w:bCs/>
        </w:rPr>
        <w:t xml:space="preserve">Books 07–08</w:t>
      </w:r>
      <w:r>
        <w:t xml:space="preserve"> </w:t>
      </w:r>
      <w:r>
        <w:t xml:space="preserve">— SQL Server Authentication Modernization and Implementation Guide</w:t>
      </w:r>
    </w:p>
    <w:p>
      <w:pPr>
        <w:pStyle w:val="Compact"/>
        <w:numPr>
          <w:ilvl w:val="0"/>
          <w:numId w:val="1003"/>
        </w:numPr>
      </w:pPr>
      <w:r>
        <w:rPr>
          <w:b/>
          <w:bCs/>
        </w:rPr>
        <w:t xml:space="preserve">Book 09</w:t>
      </w:r>
      <w:r>
        <w:t xml:space="preserve"> </w:t>
      </w:r>
      <w:r>
        <w:t xml:space="preserve">— Database Consolidation and Network Physics</w:t>
      </w:r>
    </w:p>
    <w:p>
      <w:pPr>
        <w:pStyle w:val="FirstParagraph"/>
      </w:pPr>
      <w:r>
        <w:rPr>
          <w:b/>
          <w:bCs/>
        </w:rPr>
        <w:t xml:space="preserve">Books 10–14 — Security Operations</w:t>
      </w:r>
      <w:r>
        <w:t xml:space="preserve"> </w:t>
      </w:r>
      <w:r>
        <w:t xml:space="preserve">— approximately</w:t>
      </w:r>
      <w:r>
        <w:t xml:space="preserve"> </w:t>
      </w:r>
      <w:r>
        <w:rPr>
          <w:b/>
          <w:bCs/>
        </w:rPr>
        <w:t xml:space="preserve">55 additional controls</w:t>
      </w:r>
      <w:r>
        <w:t xml:space="preserve"> </w:t>
      </w:r>
      <w:r>
        <w:t xml:space="preserve">across the AC, RA, MP, SC, AU, SI, IR, and CP families:</w:t>
      </w:r>
    </w:p>
    <w:p>
      <w:pPr>
        <w:pStyle w:val="Compact"/>
        <w:numPr>
          <w:ilvl w:val="0"/>
          <w:numId w:val="1004"/>
        </w:numPr>
      </w:pPr>
      <w:r>
        <w:rPr>
          <w:b/>
          <w:bCs/>
        </w:rPr>
        <w:t xml:space="preserve">Book 10</w:t>
      </w:r>
      <w:r>
        <w:t xml:space="preserve"> </w:t>
      </w:r>
      <w:r>
        <w:t xml:space="preserve">— Privileged Access Management</w:t>
      </w:r>
    </w:p>
    <w:p>
      <w:pPr>
        <w:pStyle w:val="Compact"/>
        <w:numPr>
          <w:ilvl w:val="0"/>
          <w:numId w:val="1004"/>
        </w:numPr>
      </w:pPr>
      <w:r>
        <w:rPr>
          <w:b/>
          <w:bCs/>
        </w:rPr>
        <w:t xml:space="preserve">Book 11</w:t>
      </w:r>
      <w:r>
        <w:t xml:space="preserve"> </w:t>
      </w:r>
      <w:r>
        <w:t xml:space="preserve">— Vulnerability Management</w:t>
      </w:r>
    </w:p>
    <w:p>
      <w:pPr>
        <w:pStyle w:val="Compact"/>
        <w:numPr>
          <w:ilvl w:val="0"/>
          <w:numId w:val="1004"/>
        </w:numPr>
      </w:pPr>
      <w:r>
        <w:rPr>
          <w:b/>
          <w:bCs/>
        </w:rPr>
        <w:t xml:space="preserve">Book 12</w:t>
      </w:r>
      <w:r>
        <w:t xml:space="preserve"> </w:t>
      </w:r>
      <w:r>
        <w:t xml:space="preserve">— Data Protection and Purview</w:t>
      </w:r>
    </w:p>
    <w:p>
      <w:pPr>
        <w:pStyle w:val="Compact"/>
        <w:numPr>
          <w:ilvl w:val="0"/>
          <w:numId w:val="1004"/>
        </w:numPr>
      </w:pPr>
      <w:r>
        <w:rPr>
          <w:b/>
          <w:bCs/>
        </w:rPr>
        <w:t xml:space="preserve">Book 13</w:t>
      </w:r>
      <w:r>
        <w:t xml:space="preserve"> </w:t>
      </w:r>
      <w:r>
        <w:t xml:space="preserve">— SIEM/XDR Detection Engineering</w:t>
      </w:r>
    </w:p>
    <w:p>
      <w:pPr>
        <w:pStyle w:val="Compact"/>
        <w:numPr>
          <w:ilvl w:val="0"/>
          <w:numId w:val="1004"/>
        </w:numPr>
      </w:pPr>
      <w:r>
        <w:rPr>
          <w:b/>
          <w:bCs/>
        </w:rPr>
        <w:t xml:space="preserve">Book 14</w:t>
      </w:r>
      <w:r>
        <w:t xml:space="preserve"> </w:t>
      </w:r>
      <w:r>
        <w:t xml:space="preserve">— Business Continuity</w:t>
      </w:r>
    </w:p>
    <w:p>
      <w:pPr>
        <w:pStyle w:val="FirstParagraph"/>
      </w:pPr>
      <w:r>
        <w:rPr>
          <w:b/>
          <w:bCs/>
        </w:rPr>
        <w:t xml:space="preserve">Books 15–17 — Risk and Program Governance</w:t>
      </w:r>
      <w:r>
        <w:t xml:space="preserve"> </w:t>
      </w:r>
      <w:r>
        <w:t xml:space="preserve">(SR, PM, and PT control families):</w:t>
      </w:r>
    </w:p>
    <w:p>
      <w:pPr>
        <w:pStyle w:val="Compact"/>
        <w:numPr>
          <w:ilvl w:val="0"/>
          <w:numId w:val="1005"/>
        </w:numPr>
      </w:pPr>
      <w:r>
        <w:rPr>
          <w:b/>
          <w:bCs/>
        </w:rPr>
        <w:t xml:space="preserve">Book 15</w:t>
      </w:r>
      <w:r>
        <w:t xml:space="preserve"> </w:t>
      </w:r>
      <w:r>
        <w:t xml:space="preserve">— Supply Chain Risk Management (SBOM/VDR/VEX pipeline)</w:t>
      </w:r>
    </w:p>
    <w:p>
      <w:pPr>
        <w:pStyle w:val="Compact"/>
        <w:numPr>
          <w:ilvl w:val="0"/>
          <w:numId w:val="1005"/>
        </w:numPr>
      </w:pPr>
      <w:r>
        <w:rPr>
          <w:b/>
          <w:bCs/>
        </w:rPr>
        <w:t xml:space="preserve">Book 16</w:t>
      </w:r>
      <w:r>
        <w:t xml:space="preserve"> </w:t>
      </w:r>
      <w:r>
        <w:t xml:space="preserve">— Program Management and Governance (POA&amp;M/SCRM/ISPP)</w:t>
      </w:r>
    </w:p>
    <w:p>
      <w:pPr>
        <w:pStyle w:val="Compact"/>
        <w:numPr>
          <w:ilvl w:val="0"/>
          <w:numId w:val="1005"/>
        </w:numPr>
      </w:pPr>
      <w:r>
        <w:rPr>
          <w:b/>
          <w:bCs/>
        </w:rPr>
        <w:t xml:space="preserve">Book 17</w:t>
      </w:r>
      <w:r>
        <w:t xml:space="preserve"> </w:t>
      </w:r>
      <w:r>
        <w:t xml:space="preserve">— PII Processing and Transparency (PT family templates, Purview enforcement)</w:t>
      </w:r>
    </w:p>
    <w:p>
      <w:pPr>
        <w:pStyle w:val="FirstParagraph"/>
      </w:pPr>
      <w:r>
        <w:rPr>
          <w:b/>
          <w:bCs/>
        </w:rPr>
        <w:t xml:space="preserve">Book 18 — Training and Awareness</w:t>
      </w:r>
      <w:r>
        <w:t xml:space="preserve"> </w:t>
      </w:r>
      <w:r>
        <w:t xml:space="preserve">— AT family cybersecurity training program — activates KSI-022 (KSI-CED-RAT), making all 29 FedRAMP 20x CR26 KSIs evaluable at high confidence.</w:t>
      </w:r>
    </w:p>
    <w:p>
      <w:pPr>
        <w:pStyle w:val="BodyText"/>
      </w:pPr>
      <w:r>
        <w:rPr>
          <w:b/>
          <w:bCs/>
        </w:rPr>
        <w:t xml:space="preserve">Book 19 — Authorization Package and ConMon</w:t>
      </w:r>
      <w:r>
        <w:t xml:space="preserve"> </w:t>
      </w:r>
      <w:r>
        <w:t xml:space="preserve">— OSCAL AP+AR+POA&amp;M bundle (29/29 KSIs self-assessed, pending 3PAO validation), continuous monitoring program, and BOD 26-04 VDR/VER submission — closing CA-2, CA-5, CA-6, CA-7, RA-3, and SA-15.</w:t>
      </w:r>
    </w:p>
    <w:p>
      <w:pPr>
        <w:pStyle w:val="BodyText"/>
      </w:pPr>
      <w:r>
        <w:t xml:space="preserve">Together the series constitutes the complete evidence-generation and authorization layer required for FedRAMP 20x continuous monitoring authorization.</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End w:id="12"/>
    <w:bookmarkStart w:id="16"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4" name="Picture"/>
            <a:graphic>
              <a:graphicData uri="http://schemas.openxmlformats.org/drawingml/2006/picture">
                <pic:pic>
                  <pic:nvPicPr>
                    <pic:cNvPr descr="figs/es-fig-01-series-overview.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FedRAMP 20x authorization package · OSCAL AP+AR+POA&amp;M bundle · BOD 26-04 VDR/VER submission · CA-7 ConMon program</w:t>
            </w:r>
          </w:p>
        </w:tc>
        <w:tc>
          <w:tcPr/>
          <w:p>
            <w:pPr>
              <w:pStyle w:val="Compact"/>
            </w:pPr>
            <w:r>
              <w:t xml:space="preserve">CA-2/5/6/7 · RA-3 · SA-15</w:t>
            </w:r>
          </w:p>
        </w:tc>
      </w:tr>
    </w:tbl>
    <w:bookmarkEnd w:id="16"/>
    <w:bookmarkStart w:id="17"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GCC Moderate systems can begin</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p>
      <w:r>
        <w:pict>
          <v:rect style="width:0;height:1.5pt" o:hralign="center" o:hrstd="t" o:hr="t"/>
        </w:pict>
      </w:r>
    </w:p>
    <w:bookmarkEnd w:id="17"/>
    <w:bookmarkStart w:id="18"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18"/>
    <w:bookmarkStart w:id="22"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lockText"/>
      </w:pPr>
      <w:r>
        <w:rPr>
          <w:b/>
          <w:bCs/>
        </w:rPr>
        <w:t xml:space="preserve">Baseline caveat:</w:t>
      </w:r>
      <w:r>
        <w:t xml:space="preserve"> </w:t>
      </w:r>
      <w:r>
        <w:t xml:space="preserve">These closure claims are made against the NIST SP 800-53 Rev 5 control baseline and FedRAMP 20x CR26 rules effective June 25, 2026. Changes to the control baseline, new FedRAMP-authorized product entries, or revised assessment guidance may alter these closure paths. Validate with OIS and the agency’s 3PAO before using these claims as the basis for authorization decisions.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ompact"/>
              <w:numPr>
                <w:ilvl w:val="0"/>
                <w:numId w:val="1006"/>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6"/>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6"/>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22"/>
    <w:bookmarkStart w:id="23"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23"/>
    <w:bookmarkStart w:id="32"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24"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7"/>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7"/>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7"/>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7"/>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24"/>
    <w:bookmarkStart w:id="25"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25"/>
    <w:bookmarkStart w:id="29"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Status</w:t>
            </w:r>
          </w:p>
        </w:tc>
      </w:tr>
      <w:tr>
        <w:trPr>
          <w:cantSplit/>
        </w:trPr>
        <w:tc>
          <w:tcPr>
            <w:tcMar>
              <w:top w:w="108" w:type="dxa"/>
              <w:bottom w:w="108" w:type="dxa"/>
            </w:tcMar>
          </w:tcPr>
          <w:p>
            <w:pPr>
              <w:pStyle w:val="BodyText"/>
            </w:pPr>
            <w:pPr>
              <w:spacing w:before="16" w:after="16"/>
            </w:pPr>
            <w:r>
              <w:t xml:space="preserve">SD-WAN and SASE SSE vendor selections are pending agency procurement review. The shortlists in this series reflect FedRAMP authorization status and federal use-case alignment at time of writing. Final selection requires validation against current FedRAMP Marketplace listings, agency-specific environment testing, and applicable procurement authority. All KSI self-assessments are self-assessed pending independent 3PAO validation.</w:t>
            </w:r>
          </w:p>
          <w:p/>
        </w:tc>
      </w:tr>
    </w:tbl>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8"/>
        </w:numPr>
      </w:pPr>
      <w:r>
        <w:rPr>
          <w:b/>
          <w:bCs/>
        </w:rPr>
        <w:t xml:space="preserve">Network layer</w:t>
      </w:r>
      <w:r>
        <w:t xml:space="preserve"> </w:t>
      </w:r>
      <w:r>
        <w:t xml:space="preserve">— DDI, DNS, DHCP, IPAM, DNSSEC, RPZ (InfoBlox)</w:t>
      </w:r>
    </w:p>
    <w:p>
      <w:pPr>
        <w:pStyle w:val="Compact"/>
        <w:numPr>
          <w:ilvl w:val="0"/>
          <w:numId w:val="1008"/>
        </w:numPr>
      </w:pPr>
      <w:r>
        <w:rPr>
          <w:b/>
          <w:bCs/>
        </w:rPr>
        <w:t xml:space="preserve">Transport layer</w:t>
      </w:r>
      <w:r>
        <w:t xml:space="preserve"> </w:t>
      </w:r>
      <w:r>
        <w:t xml:space="preserve">— SD-WAN IPsec overlay, QoS traffic classification, DIA local breakout path selection (Cisco Catalyst SD-WAN / VMware VeloCloud (Broadcom) / Palo Alto SD-WAN —</w:t>
      </w:r>
      <w:r>
        <w:t xml:space="preserve"> </w:t>
      </w:r>
      <w:r>
        <w:rPr>
          <w:i/>
          <w:iCs/>
        </w:rPr>
        <w:t xml:space="preserve">agency selection pending</w:t>
      </w:r>
      <w:r>
        <w:t xml:space="preserve">)</w:t>
      </w:r>
    </w:p>
    <w:p>
      <w:pPr>
        <w:pStyle w:val="Compact"/>
        <w:numPr>
          <w:ilvl w:val="0"/>
          <w:numId w:val="1008"/>
        </w:numPr>
      </w:pPr>
      <w:r>
        <w:rPr>
          <w:b/>
          <w:bCs/>
        </w:rPr>
        <w:t xml:space="preserve">Application layer</w:t>
      </w:r>
      <w:r>
        <w:t xml:space="preserve"> </w:t>
      </w:r>
      <w:r>
        <w:t xml:space="preserve">— CASB inline inspection, SWG, FWaaS, SSL/TLS inspection — delivered by the SASE SSE stack (Zscaler Internet Access (ZIA) / Netskope SSE / Palo Alto Prisma Access —</w:t>
      </w:r>
      <w:r>
        <w:t xml:space="preserve"> </w:t>
      </w:r>
      <w:r>
        <w:rPr>
          <w:i/>
          <w:iCs/>
        </w:rPr>
        <w:t xml:space="preserve">agency selection pending</w:t>
      </w:r>
      <w:r>
        <w:t xml:space="preserve">)</w:t>
      </w:r>
    </w:p>
    <w:p>
      <w:pPr>
        <w:pStyle w:val="Compact"/>
        <w:numPr>
          <w:ilvl w:val="0"/>
          <w:numId w:val="1008"/>
        </w:numPr>
      </w:pPr>
      <w:r>
        <w:rPr>
          <w:b/>
          <w:bCs/>
        </w:rPr>
        <w:t xml:space="preserve">Identity layer</w:t>
      </w:r>
      <w:r>
        <w:t xml:space="preserve"> </w:t>
      </w:r>
      <w:r>
        <w:t xml:space="preserve">— Entra ID, Conditional Access, Arc Managed Identity, NTLM elimination</w:t>
      </w:r>
    </w:p>
    <w:p>
      <w:pPr>
        <w:pStyle w:val="Compact"/>
        <w:numPr>
          <w:ilvl w:val="0"/>
          <w:numId w:val="1008"/>
        </w:numPr>
      </w:pPr>
      <w:r>
        <w:rPr>
          <w:b/>
          <w:bCs/>
        </w:rPr>
        <w:t xml:space="preserve">Data layer</w:t>
      </w:r>
      <w:r>
        <w:t xml:space="preserve"> </w:t>
      </w:r>
      <w:r>
        <w:t xml:space="preserve">— SQL Server, TDE, consistency classes, replication physics</w:t>
      </w:r>
    </w:p>
    <w:p>
      <w:pPr>
        <w:pStyle w:val="Compact"/>
        <w:numPr>
          <w:ilvl w:val="0"/>
          <w:numId w:val="1008"/>
        </w:numPr>
      </w:pPr>
      <w:r>
        <w:rPr>
          <w:b/>
          <w:bCs/>
        </w:rPr>
        <w:t xml:space="preserve">Operations layer</w:t>
      </w:r>
      <w:r>
        <w:t xml:space="preserve"> </w:t>
      </w:r>
      <w:r>
        <w:t xml:space="preserve">— Sentinel, Defender XDR, KQL, Logic App playbooks</w:t>
      </w:r>
    </w:p>
    <w:p>
      <w:pPr>
        <w:pStyle w:val="Compact"/>
        <w:numPr>
          <w:ilvl w:val="0"/>
          <w:numId w:val="1008"/>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29"/>
    <w:bookmarkStart w:id="30"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9"/>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9"/>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9"/>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9"/>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30"/>
    <w:bookmarkStart w:id="31"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ompact"/>
        <w:numPr>
          <w:ilvl w:val="0"/>
          <w:numId w:val="1010"/>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10"/>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31"/>
    <w:bookmarkEnd w:id="32"/>
    <w:bookmarkStart w:id="33" w:name="the-ksi-closure-necessity-matrix"/>
    <w:p>
      <w:pPr>
        <w:pStyle w:val="Heading1"/>
      </w:pPr>
      <w:r>
        <w:t xml:space="preserve">5. 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33"/>
    <w:bookmarkStart w:id="36"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36"/>
    <w:bookmarkStart w:id="39" w:name="X6f9a64b586cbcc7969c4f245976846e0504a959"/>
    <w:p>
      <w:pPr>
        <w:pStyle w:val="Heading1"/>
      </w:pPr>
      <w:r>
        <w:t xml:space="preserve">7. Part 1 — Landing Zone DDI: InfoBlox DDI Closes 16 NIST Controls</w:t>
      </w:r>
    </w:p>
    <w:bookmarkStart w:id="37"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one of a small number of FedRAMP Moderate-authorized DDI platforms (CSO FR2017257053, authorized January 2023, hosted on AWS GovCloud; verify current authorization on the FedRAMP Marketplace at time of procurement).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37"/>
    <w:bookmarkStart w:id="38"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(inherited ATO)</w:t>
            </w:r>
          </w:p>
        </w:tc>
        <w:tc>
          <w:tcPr/>
          <w:p>
            <w:pPr>
              <w:pStyle w:val="Compact"/>
            </w:pPr>
            <w:r>
              <w:t xml:space="preserve">DDI architecture described informally or not at all in SSP</w:t>
            </w:r>
          </w:p>
        </w:tc>
        <w:tc>
          <w:tcPr/>
          <w:p>
            <w:pPr>
              <w:pStyle w:val="Compact"/>
            </w:pPr>
            <w:r>
              <w:t xml:space="preserve">Unified DDI architecture documented in SSP; InfoBlox FedRAMP ATO cited as inherited control for DDI layer</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38"/>
    <w:bookmarkEnd w:id="39"/>
    <w:bookmarkStart w:id="41" w:name="Xbcc0181b0bedc83b159769420775f7f4bd5b5ee"/>
    <w:p>
      <w:pPr>
        <w:pStyle w:val="Heading1"/>
      </w:pPr>
      <w:r>
        <w:t xml:space="preserve">8. Part 2 — Network Access Control: 802.1X Closes the Device Identity Gap</w:t>
      </w:r>
    </w:p>
    <w:bookmarkStart w:id="40"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with five interlocking mechanisms:</w:t>
      </w:r>
    </w:p>
    <w:p>
      <w:pPr>
        <w:pStyle w:val="Compact"/>
        <w:numPr>
          <w:ilvl w:val="0"/>
          <w:numId w:val="1011"/>
        </w:numPr>
      </w:pPr>
      <w:r>
        <w:rPr>
          <w:b/>
          <w:bCs/>
        </w:rPr>
        <w:t xml:space="preserve">802.1X EAP-TLS</w:t>
      </w:r>
      <w:r>
        <w:t xml:space="preserve"> </w:t>
      </w:r>
      <w:r>
        <w:t xml:space="preserve">— port authentication with TPM-backed machine certificates issued via Intune SCEP</w:t>
      </w:r>
    </w:p>
    <w:p>
      <w:pPr>
        <w:pStyle w:val="Compact"/>
        <w:numPr>
          <w:ilvl w:val="0"/>
          <w:numId w:val="1011"/>
        </w:numPr>
      </w:pPr>
      <w:r>
        <w:rPr>
          <w:b/>
          <w:bCs/>
        </w:rPr>
        <w:t xml:space="preserve">RADIUS with Change of Authorization (CoA)</w:t>
      </w:r>
      <w:r>
        <w:t xml:space="preserve"> </w:t>
      </w:r>
      <w:r>
        <w:t xml:space="preserve">— real-time policy enforcement; non-compliant devices moved to the remediation VLAN without requiring re-authentication</w:t>
      </w:r>
    </w:p>
    <w:p>
      <w:pPr>
        <w:pStyle w:val="Compact"/>
        <w:numPr>
          <w:ilvl w:val="0"/>
          <w:numId w:val="1011"/>
        </w:numPr>
      </w:pPr>
      <w:r>
        <w:rPr>
          <w:b/>
          <w:bCs/>
        </w:rPr>
        <w:t xml:space="preserve">NAC policy tiers</w:t>
      </w:r>
      <w:r>
        <w:t xml:space="preserve"> </w:t>
      </w:r>
      <w:r>
        <w:t xml:space="preserve">— production, remediation, quarantine, guest, and IoT lanes with distinct access rights</w:t>
      </w:r>
    </w:p>
    <w:p>
      <w:pPr>
        <w:pStyle w:val="Compact"/>
        <w:numPr>
          <w:ilvl w:val="0"/>
          <w:numId w:val="1011"/>
        </w:numPr>
      </w:pPr>
      <w:r>
        <w:rPr>
          <w:b/>
          <w:bCs/>
        </w:rPr>
        <w:t xml:space="preserve">DHCP fingerprinting</w:t>
      </w:r>
      <w:r>
        <w:t xml:space="preserve"> </w:t>
      </w:r>
      <w:r>
        <w:t xml:space="preserve">— device classification feeding IPAM as the authoritative device inventory</w:t>
      </w:r>
    </w:p>
    <w:p>
      <w:pPr>
        <w:pStyle w:val="Compact"/>
        <w:numPr>
          <w:ilvl w:val="0"/>
          <w:numId w:val="1011"/>
        </w:numPr>
      </w:pPr>
      <w:r>
        <w:rPr>
          <w:b/>
          <w:bCs/>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40"/>
    <w:bookmarkEnd w:id="41"/>
    <w:bookmarkStart w:id="43" w:name="X405ac1b7341efa237459fac366bded0a1afb81b"/>
    <w:p>
      <w:pPr>
        <w:pStyle w:val="Heading1"/>
      </w:pPr>
      <w:r>
        <w:t xml:space="preserve">9. Part 3 — Certificates &amp; Tokens: Cryptographic Identity</w:t>
      </w:r>
    </w:p>
    <w:bookmarkStart w:id="42"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pStyle w:val="Compact"/>
        <w:numPr>
          <w:ilvl w:val="0"/>
          <w:numId w:val="1012"/>
        </w:numPr>
      </w:pPr>
      <w:r>
        <w:rPr>
          <w:b/>
          <w:bCs/>
        </w:rPr>
        <w:t xml:space="preserve">PKI as a naming-plane function</w:t>
      </w:r>
      <w:r>
        <w:t xml:space="preserve"> </w:t>
      </w:r>
      <w:r>
        <w:t xml:space="preserve">— certificate issuance, revocation, CAA, and ACME DNS-01 live in the same substrate as Part 1’s DDI</w:t>
      </w:r>
    </w:p>
    <w:p>
      <w:pPr>
        <w:pStyle w:val="Compact"/>
        <w:numPr>
          <w:ilvl w:val="0"/>
          <w:numId w:val="1012"/>
        </w:numPr>
      </w:pPr>
      <w:r>
        <w:rPr>
          <w:b/>
          <w:bCs/>
        </w:rPr>
        <w:t xml:space="preserve">Certificate lifecycle automation</w:t>
      </w:r>
      <w:r>
        <w:t xml:space="preserve"> </w:t>
      </w:r>
      <w:r>
        <w:t xml:space="preserve">— short-lived certificates with automated ACME renewal; expiry linked to IP host records</w:t>
      </w:r>
    </w:p>
    <w:p>
      <w:pPr>
        <w:pStyle w:val="Compact"/>
        <w:numPr>
          <w:ilvl w:val="0"/>
          <w:numId w:val="1012"/>
        </w:numPr>
      </w:pPr>
      <w:r>
        <w:rPr>
          <w:b/>
          <w:bCs/>
        </w:rPr>
        <w:t xml:space="preserve">Token-based identity</w:t>
      </w:r>
      <w:r>
        <w:t xml:space="preserve"> </w:t>
      </w:r>
      <w:r>
        <w:t xml:space="preserve">— OAuth 2.0/OIDC, certificate-based authentication (CBA), and phishing-resistant MFA per BOD 25-01</w:t>
      </w:r>
    </w:p>
    <w:p>
      <w:pPr>
        <w:pStyle w:val="Compact"/>
        <w:numPr>
          <w:ilvl w:val="0"/>
          <w:numId w:val="1012"/>
        </w:numPr>
      </w:pPr>
      <w:r>
        <w:rPr>
          <w:b/>
          <w:bCs/>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42"/>
    <w:bookmarkEnd w:id="43"/>
    <w:bookmarkStart w:id="45" w:name="Xad942f67734931d78957af9cb177c97b21b47d5"/>
    <w:p>
      <w:pPr>
        <w:pStyle w:val="Heading1"/>
      </w:pPr>
      <w:r>
        <w:t xml:space="preserve">10. Part 4 — HRIT and the Identity &amp; Organizational SSOT</w:t>
      </w:r>
    </w:p>
    <w:bookmarkStart w:id="44"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pStyle w:val="Compact"/>
        <w:numPr>
          <w:ilvl w:val="0"/>
          <w:numId w:val="1013"/>
        </w:numPr>
      </w:pPr>
      <w:r>
        <w:rPr>
          <w:b/>
          <w:bCs/>
        </w:rPr>
        <w:t xml:space="preserve">Joiner/mover/leaver lifecycle</w:t>
      </w:r>
      <w:r>
        <w:t xml:space="preserve"> </w:t>
      </w:r>
      <w:r>
        <w:t xml:space="preserve">— HR events drive same-day account creation, role change, and deprovisioning into Entra ID via SCIM</w:t>
      </w:r>
    </w:p>
    <w:p>
      <w:pPr>
        <w:pStyle w:val="Compact"/>
        <w:numPr>
          <w:ilvl w:val="0"/>
          <w:numId w:val="1013"/>
        </w:numPr>
      </w:pPr>
      <w:r>
        <w:rPr>
          <w:b/>
          <w:bCs/>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pStyle w:val="Compact"/>
        <w:numPr>
          <w:ilvl w:val="0"/>
          <w:numId w:val="1013"/>
        </w:numPr>
      </w:pPr>
      <w:r>
        <w:rPr>
          <w:b/>
          <w:bCs/>
        </w:rPr>
        <w:t xml:space="preserve">Identifier management</w:t>
      </w:r>
      <w:r>
        <w:t xml:space="preserve"> </w:t>
      </w:r>
      <w:r>
        <w:t xml:space="preserve">— canonical identifiers anchored to the HR record flow through all downstream systems</w:t>
      </w:r>
    </w:p>
    <w:p>
      <w:pPr>
        <w:pStyle w:val="Compact"/>
        <w:numPr>
          <w:ilvl w:val="0"/>
          <w:numId w:val="1013"/>
        </w:numPr>
      </w:pPr>
      <w:r>
        <w:rPr>
          <w:b/>
          <w:bCs/>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44"/>
    <w:bookmarkEnd w:id="45"/>
    <w:bookmarkStart w:id="48" w:name="X10b5b70168cf61c697e46bca4109e68839cb391"/>
    <w:p>
      <w:pPr>
        <w:pStyle w:val="Heading1"/>
      </w:pPr>
      <w:r>
        <w:t xml:space="preserve">11. Part 5 — Network and Identity Modernization: Entra ID + ZTNA + Active Governance Closes 12 NIST Controls</w:t>
      </w:r>
    </w:p>
    <w:bookmarkStart w:id="46"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14"/>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14"/>
        </w:numPr>
      </w:pPr>
      <w:r>
        <w:rPr>
          <w:b/>
          <w:bCs/>
        </w:rPr>
        <w:t xml:space="preserve">Deploy application-aware networking</w:t>
      </w:r>
      <w:r>
        <w:t xml:space="preserve"> </w:t>
      </w:r>
      <w:r>
        <w:t xml:space="preserve">— enforce policy at the application layer, not the IP/port layer</w:t>
      </w:r>
    </w:p>
    <w:p>
      <w:pPr>
        <w:pStyle w:val="Compact"/>
        <w:numPr>
          <w:ilvl w:val="0"/>
          <w:numId w:val="1014"/>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14"/>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46"/>
    <w:bookmarkStart w:id="47"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47"/>
    <w:bookmarkEnd w:id="48"/>
    <w:bookmarkStart w:id="51" w:name="X2d88030fe1371762303048ee6244da6478ed0f7"/>
    <w:p>
      <w:pPr>
        <w:pStyle w:val="Heading1"/>
      </w:pPr>
      <w:r>
        <w:t xml:space="preserve">12. Part 6 — Telecommunications Modernization: SD-WAN + SASE Closes 7 NIST Controls</w:t>
      </w:r>
    </w:p>
    <w:bookmarkStart w:id="49"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49"/>
    <w:bookmarkStart w:id="50"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50"/>
    <w:bookmarkEnd w:id="51"/>
    <w:bookmarkStart w:id="55" w:name="Xd4e84a07e291e418566bcb97aa439fd3597f127"/>
    <w:p>
      <w:pPr>
        <w:pStyle w:val="Heading1"/>
      </w:pPr>
      <w:r>
        <w:t xml:space="preserve">13. Parts 7–9 — SQL Server and Database Architecture</w:t>
      </w:r>
    </w:p>
    <w:bookmarkStart w:id="52"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52"/>
    <w:bookmarkStart w:id="53"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53"/>
    <w:bookmarkStart w:id="54"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54"/>
    <w:bookmarkEnd w:id="55"/>
    <w:bookmarkStart w:id="57"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56"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56"/>
    <w:bookmarkEnd w:id="57"/>
    <w:bookmarkStart w:id="64"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59" name="Picture"/>
            <a:graphic>
              <a:graphicData uri="http://schemas.openxmlformats.org/drawingml/2006/picture">
                <pic:pic>
                  <pic:nvPicPr>
                    <pic:cNvPr descr="figs/es-fig-02-control-closure-chart.png" id="60" name="Picture"/>
                    <pic:cNvPicPr>
                      <a:picLocks noChangeArrowheads="1" noChangeAspect="1"/>
                    </pic:cNvPicPr>
                  </pic:nvPicPr>
                  <pic:blipFill>
                    <a:blip r:embed="rId58"/>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61"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61"/>
    <w:bookmarkStart w:id="62"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62"/>
    <w:bookmarkStart w:id="63"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15"/>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15"/>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15"/>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15"/>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16"/>
        </w:numPr>
      </w:pPr>
      <w:r>
        <w:rPr>
          <w:b/>
          <w:bCs/>
        </w:rPr>
        <w:t xml:space="preserve">InfoBlox WAPI</w:t>
      </w:r>
      <w:r>
        <w:t xml:space="preserve"> </w:t>
      </w:r>
      <w:r>
        <w:t xml:space="preserve">exports all DDI evidence as structured JSON</w:t>
      </w:r>
    </w:p>
    <w:p>
      <w:pPr>
        <w:pStyle w:val="Compact"/>
        <w:numPr>
          <w:ilvl w:val="0"/>
          <w:numId w:val="1016"/>
        </w:numPr>
      </w:pPr>
      <w:r>
        <w:rPr>
          <w:b/>
          <w:bCs/>
        </w:rPr>
        <w:t xml:space="preserve">SASE stack</w:t>
      </w:r>
      <w:r>
        <w:t xml:space="preserve"> </w:t>
      </w:r>
      <w:r>
        <w:t xml:space="preserve">exports per-session telemetry in structured log format</w:t>
      </w:r>
    </w:p>
    <w:p>
      <w:pPr>
        <w:pStyle w:val="Compact"/>
        <w:numPr>
          <w:ilvl w:val="0"/>
          <w:numId w:val="1016"/>
        </w:numPr>
      </w:pPr>
      <w:r>
        <w:rPr>
          <w:b/>
          <w:bCs/>
        </w:rPr>
        <w:t xml:space="preserve">Active Governance control plane</w:t>
      </w:r>
      <w:r>
        <w:t xml:space="preserve"> </w:t>
      </w:r>
      <w:r>
        <w:t xml:space="preserve">generates desired-vs-actual JSON records as its primary output</w:t>
      </w:r>
    </w:p>
    <w:p>
      <w:pPr>
        <w:pStyle w:val="Compact"/>
        <w:numPr>
          <w:ilvl w:val="0"/>
          <w:numId w:val="1016"/>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16"/>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63"/>
    <w:bookmarkEnd w:id="64"/>
    <w:bookmarkStart w:id="70"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65"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65"/>
    <w:bookmarkStart w:id="66"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66"/>
    <w:bookmarkStart w:id="67"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67"/>
    <w:bookmarkStart w:id="68"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68"/>
    <w:bookmarkStart w:id="69"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69"/>
    <w:bookmarkEnd w:id="70"/>
    <w:bookmarkStart w:id="71"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71"/>
    <w:bookmarkStart w:id="77"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73" name="Picture"/>
            <a:graphic>
              <a:graphicData uri="http://schemas.openxmlformats.org/drawingml/2006/picture">
                <pic:pic>
                  <pic:nvPicPr>
                    <pic:cNvPr descr="figs/es-fig-04-sequencing-roadmap.png" id="74" name="Picture"/>
                    <pic:cNvPicPr>
                      <a:picLocks noChangeArrowheads="1" noChangeAspect="1"/>
                    </pic:cNvPicPr>
                  </pic:nvPicPr>
                  <pic:blipFill>
                    <a:blip r:embed="rId7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75" w:name="phased-delivery-roadmap"/>
    <w:p>
      <w:pPr>
        <w:pStyle w:val="Heading2"/>
      </w:pPr>
      <w:r>
        <w:t xml:space="preserve">18.1 Phased Delivery Roadmap</w:t>
      </w:r>
    </w:p>
    <w:p>
      <w:pPr>
        <w:pStyle w:val="TableCaption"/>
      </w:pPr>
      <w:r>
        <w:t xml:space="preserve">Phased Delivery Roadmap — Phase 0 through Phase 6</w:t>
      </w:r>
    </w:p>
    <w:tbl>
      <w:tblPr>
        <w:tblStyle w:val="Table"/>
        <w:tblW w:type="pct" w:w="5000"/>
        <w:tblLayout w:type="fixed"/>
        <w:tblLook w:firstRow="1" w:lastRow="0" w:firstColumn="0" w:lastColumn="0" w:noHBand="0" w:noVBand="0" w:val="0020"/>
        <w:tblCaption w:val="Phased Delivery Roadmap — Phase 0 through Phase 6"/>
      </w:tblPr>
      <w:tblGrid>
        <w:gridCol w:w="1421"/>
        <w:gridCol w:w="2030"/>
        <w:gridCol w:w="1624"/>
        <w:gridCol w:w="2843"/>
      </w:tblGrid>
      <w:tr>
        <w:trPr>
          <w:tblHeader w:val="on"/>
        </w:trPr>
        <w:tc>
          <w:tcPr/>
          <w:p>
            <w:pPr>
              <w:pStyle w:val="Compact"/>
            </w:pPr>
            <w:r>
              <w:t xml:space="preserve">Phase</w:t>
            </w:r>
          </w:p>
        </w:tc>
        <w:tc>
          <w:tcPr/>
          <w:p>
            <w:pPr>
              <w:pStyle w:val="Compact"/>
            </w:pPr>
            <w:r>
              <w:t xml:space="preserve">Timeline</w:t>
            </w:r>
          </w:p>
        </w:tc>
        <w:tc>
          <w:tcPr/>
          <w:p>
            <w:pPr>
              <w:pStyle w:val="Compact"/>
            </w:pPr>
            <w:r>
              <w:t xml:space="preserve">Status</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Part 17 PT/PII templates; Part 18 AT training program; KSI-022 → active; all 29 CR26 KSIs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BOD 26-04 VDR/VER submission (Dec 7); Authorization package filed; OSCAL AP+AR+POAM bundle (29/29 self-assessed, pending 3PAO validation)</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FedRAMP 20x mandatory deadline;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Active</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75"/>
    <w:bookmarkStart w:id="76"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trestle</w:t>
            </w:r>
            <w:r>
              <w:t xml:space="preserve"> </w:t>
            </w:r>
            <w:r>
              <w:t xml:space="preserve">(IBM) or custom Python emitter against OSCAL 1.1 schema</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76"/>
    <w:bookmarkEnd w:id="77"/>
    <w:bookmarkStart w:id="97"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78">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79">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80">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81">
              <w:r>
                <w:rPr>
                  <w:rStyle w:val="Hyperlink"/>
                </w:rPr>
                <w:t xml:space="preserve">Book 04 —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82">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83">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84">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85">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86">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87">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88">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89">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90">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91">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92">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93">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94">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95">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96">
              <w:r>
                <w:rPr>
                  <w:rStyle w:val="Hyperlink"/>
                </w:rPr>
                <w:t xml:space="preserve">Book 19 — Authorization Package and ConMon</w:t>
              </w:r>
            </w:hyperlink>
          </w:p>
        </w:tc>
        <w:tc>
          <w:tcPr/>
          <w:p>
            <w:pPr>
              <w:pStyle w:val="Compact"/>
            </w:pPr>
            <w:r>
              <w:t xml:space="preserve">Part 19: FedRAMP 20x authorization package structure, OSCAL AP+AR+POA&amp;M bundle (29/29 self-assessed, pending 3PAO validation), CA-7 ConMon program, BOD 26-04 VDR/VER submission, AO checklist, day-of-submission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hyperlink" Id="rId78" Target="Book_01_FedAAN_SSA_Landing_Zone_IPAM_FedRAMP.qmd" TargetMode="External" /><Relationship Type="http://schemas.openxmlformats.org/officeDocument/2006/relationships/hyperlink" Id="rId79" Target="Book_02_FedAAN_Network_Access_Control_802_1X.qmd" TargetMode="External" /><Relationship Type="http://schemas.openxmlformats.org/officeDocument/2006/relationships/hyperlink" Id="rId80" Target="Book_03_FedAAN_Certificates_Tokens_Cryptographic_Identity.qmd" TargetMode="External" /><Relationship Type="http://schemas.openxmlformats.org/officeDocument/2006/relationships/hyperlink" Id="rId81" Target="Book_04_FedAAN_HRIT_Identity_Org_SSOT.qmd" TargetMode="External" /><Relationship Type="http://schemas.openxmlformats.org/officeDocument/2006/relationships/hyperlink" Id="rId82" Target="Book_05_FedAAN_Network_Modernization.qmd" TargetMode="External" /><Relationship Type="http://schemas.openxmlformats.org/officeDocument/2006/relationships/hyperlink" Id="rId83" Target="Book_06_FedAAN_Federal_Telecommunications_Modernization.qmd" TargetMode="External" /><Relationship Type="http://schemas.openxmlformats.org/officeDocument/2006/relationships/hyperlink" Id="rId84" Target="Book_07_FedAAN_SQL_Server_Authentication_Modernization.qmd" TargetMode="External" /><Relationship Type="http://schemas.openxmlformats.org/officeDocument/2006/relationships/hyperlink" Id="rId85" Target="Book_08_FedAAN_SQL_Server_Implementation_Guide.qmd" TargetMode="External" /><Relationship Type="http://schemas.openxmlformats.org/officeDocument/2006/relationships/hyperlink" Id="rId86" Target="Book_09_FedAAN_Database_Consolidation_Network_Physics.qmd" TargetMode="External" /><Relationship Type="http://schemas.openxmlformats.org/officeDocument/2006/relationships/hyperlink" Id="rId87" Target="Book_10_FedAAN_Privileged_Access_Management.qmd" TargetMode="External" /><Relationship Type="http://schemas.openxmlformats.org/officeDocument/2006/relationships/hyperlink" Id="rId88" Target="Book_11_FedAAN_Vulnerability_Management.qmd" TargetMode="External" /><Relationship Type="http://schemas.openxmlformats.org/officeDocument/2006/relationships/hyperlink" Id="rId89" Target="Book_12_FedAAN_Data_Protection_Purview.qmd" TargetMode="External" /><Relationship Type="http://schemas.openxmlformats.org/officeDocument/2006/relationships/hyperlink" Id="rId90" Target="Book_13_FedAAN_SIEM_XDR_Detection.qmd" TargetMode="External" /><Relationship Type="http://schemas.openxmlformats.org/officeDocument/2006/relationships/hyperlink" Id="rId91" Target="Book_14_FedAAN_Business_Continuity.qmd" TargetMode="External" /><Relationship Type="http://schemas.openxmlformats.org/officeDocument/2006/relationships/hyperlink" Id="rId92" Target="Book_15_FedAAN_Supply_Chain_Risk_Management.qmd" TargetMode="External" /><Relationship Type="http://schemas.openxmlformats.org/officeDocument/2006/relationships/hyperlink" Id="rId93" Target="Book_16_FedAAN_Program_Management_Governance.qmd" TargetMode="External" /><Relationship Type="http://schemas.openxmlformats.org/officeDocument/2006/relationships/hyperlink" Id="rId94" Target="Book_17_FedAAN_PII_Processing_Transparency.qmd" TargetMode="External" /><Relationship Type="http://schemas.openxmlformats.org/officeDocument/2006/relationships/hyperlink" Id="rId95" Target="Book_18_FedAAN_Cybersecurity_Training_Awareness.qmd" TargetMode="External" /><Relationship Type="http://schemas.openxmlformats.org/officeDocument/2006/relationships/hyperlink" Id="rId96"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78" Target="Book_01_FedAAN_SSA_Landing_Zone_IPAM_FedRAMP.qmd" TargetMode="External" /><Relationship Type="http://schemas.openxmlformats.org/officeDocument/2006/relationships/hyperlink" Id="rId79" Target="Book_02_FedAAN_Network_Access_Control_802_1X.qmd" TargetMode="External" /><Relationship Type="http://schemas.openxmlformats.org/officeDocument/2006/relationships/hyperlink" Id="rId80" Target="Book_03_FedAAN_Certificates_Tokens_Cryptographic_Identity.qmd" TargetMode="External" /><Relationship Type="http://schemas.openxmlformats.org/officeDocument/2006/relationships/hyperlink" Id="rId81" Target="Book_04_FedAAN_HRIT_Identity_Org_SSOT.qmd" TargetMode="External" /><Relationship Type="http://schemas.openxmlformats.org/officeDocument/2006/relationships/hyperlink" Id="rId82" Target="Book_05_FedAAN_Network_Modernization.qmd" TargetMode="External" /><Relationship Type="http://schemas.openxmlformats.org/officeDocument/2006/relationships/hyperlink" Id="rId83" Target="Book_06_FedAAN_Federal_Telecommunications_Modernization.qmd" TargetMode="External" /><Relationship Type="http://schemas.openxmlformats.org/officeDocument/2006/relationships/hyperlink" Id="rId84" Target="Book_07_FedAAN_SQL_Server_Authentication_Modernization.qmd" TargetMode="External" /><Relationship Type="http://schemas.openxmlformats.org/officeDocument/2006/relationships/hyperlink" Id="rId85" Target="Book_08_FedAAN_SQL_Server_Implementation_Guide.qmd" TargetMode="External" /><Relationship Type="http://schemas.openxmlformats.org/officeDocument/2006/relationships/hyperlink" Id="rId86" Target="Book_09_FedAAN_Database_Consolidation_Network_Physics.qmd" TargetMode="External" /><Relationship Type="http://schemas.openxmlformats.org/officeDocument/2006/relationships/hyperlink" Id="rId87" Target="Book_10_FedAAN_Privileged_Access_Management.qmd" TargetMode="External" /><Relationship Type="http://schemas.openxmlformats.org/officeDocument/2006/relationships/hyperlink" Id="rId88" Target="Book_11_FedAAN_Vulnerability_Management.qmd" TargetMode="External" /><Relationship Type="http://schemas.openxmlformats.org/officeDocument/2006/relationships/hyperlink" Id="rId89" Target="Book_12_FedAAN_Data_Protection_Purview.qmd" TargetMode="External" /><Relationship Type="http://schemas.openxmlformats.org/officeDocument/2006/relationships/hyperlink" Id="rId90" Target="Book_13_FedAAN_SIEM_XDR_Detection.qmd" TargetMode="External" /><Relationship Type="http://schemas.openxmlformats.org/officeDocument/2006/relationships/hyperlink" Id="rId91" Target="Book_14_FedAAN_Business_Continuity.qmd" TargetMode="External" /><Relationship Type="http://schemas.openxmlformats.org/officeDocument/2006/relationships/hyperlink" Id="rId92" Target="Book_15_FedAAN_Supply_Chain_Risk_Management.qmd" TargetMode="External" /><Relationship Type="http://schemas.openxmlformats.org/officeDocument/2006/relationships/hyperlink" Id="rId93" Target="Book_16_FedAAN_Program_Management_Governance.qmd" TargetMode="External" /><Relationship Type="http://schemas.openxmlformats.org/officeDocument/2006/relationships/hyperlink" Id="rId94" Target="Book_17_FedAAN_PII_Processing_Transparency.qmd" TargetMode="External" /><Relationship Type="http://schemas.openxmlformats.org/officeDocument/2006/relationships/hyperlink" Id="rId95" Target="Book_18_FedAAN_Cybersecurity_Training_Awareness.qmd" TargetMode="External" /><Relationship Type="http://schemas.openxmlformats.org/officeDocument/2006/relationships/hyperlink" Id="rId96"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2026-07-06T13:14:26Z</dcterms:created>
  <dcterms:modified xsi:type="dcterms:W3CDTF">2026-07-06T13:14:26Z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