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72.png" ContentType="image/png"/>
  <Override PartName="/word/media/rId35.png" ContentType="image/png"/>
  <Override PartName="/word/media/rId9.png" ContentType="image/png"/>
  <Override PartName="/word/media/rId24.png" ContentType="image/png"/>
  <Override PartName="/word/media/rId32.png" ContentType="image/png"/>
  <Override PartName="/word/media/rId54.png" ContentType="image/png"/>
  <Override PartName="/word/media/rId60.png" ContentType="image/png"/>
  <Override PartName="/word/media/rId128.png" ContentType="image/png"/>
  <Override PartName="/word/media/rId76.png" ContentType="image/png"/>
  <Override PartName="/word/media/rId67.png" ContentType="image/png"/>
  <Override PartName="/word/media/rId29.png" ContentType="image/png"/>
  <Override PartName="/word/media/rId84.png" ContentType="image/png"/>
  <Override PartName="/word/media/rId16.png" ContentType="image/png"/>
  <Override PartName="/word/media/rId117.png" ContentType="image/png"/>
  <Override PartName="/word/media/rId21.png" ContentType="image/png"/>
  <Override PartName="/word/media/rId57.png" ContentType="image/png"/>
  <Override PartName="/word/media/rId141.png" ContentType="image/png"/>
  <Override PartName="/word/media/rId125.png" ContentType="image/png"/>
  <Override PartName="/word/media/rId96.svg" ContentType="image/svg+xml"/>
  <Override PartName="/word/media/rId101.svg" ContentType="image/svg+xml"/>
  <Override PartName="/word/media/rId109.png" ContentType="image/png"/>
  <Override PartName="/word/media/rId4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01 — Federal Agency Cloud Landing Zone</w:t>
      </w:r>
    </w:p>
    <w:p>
      <w:pPr>
        <w:pStyle w:val="Subtitle"/>
      </w:pPr>
      <w:r>
        <w:t xml:space="preserve">IPAM · SDN · DNS · PKI · Zero Trust — InfoBlox DDI Alignment to NIST, CISA, and FedRAMP</w:t>
      </w:r>
    </w:p>
    <w:p>
      <w:pPr>
        <w:pStyle w:val="Author"/>
      </w:pPr>
      <w:r>
        <w:t xml:space="preserve">SSA Cloud Services Team</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r>
        <w:pict>
          <v:rect style="width:0;height:1.5pt" o:hralign="center" o:hrstd="t" o:hr="t"/>
        </w:pict>
      </w:r>
    </w:p>
    <w:bookmarkStart w:id="12"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
          <w:bCs/>
        </w:rPr>
        <w:t xml:space="preserve">InfoBlox DDI</w:t>
      </w:r>
      <w:r>
        <w:t xml:space="preserve"> </w:t>
      </w:r>
      <w:r>
        <w:t xml:space="preserve">— the market-leading platform for DNS, DHCP, and IP Address Management — solves all four problems from a single FedRAMP-authorized control plane (CSO FR2017257053, authorized January 2023, hosted on AWS GovCloud).</w:t>
      </w:r>
    </w:p>
    <w:p>
      <w:pPr>
        <w:pStyle w:val="BodyText"/>
      </w:pPr>
      <w:r>
        <w:rPr>
          <w:b/>
          <w:bCs/>
        </w:rPr>
        <w:t xml:space="preserve">The three business outcomes this document demonstrates:</w:t>
      </w:r>
    </w:p>
    <w:p>
      <w:pPr>
        <w:pStyle w:val="BodyText"/>
      </w:pPr>
      <w:r>
        <w:rPr>
          <w:b/>
          <w:bCs/>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
          <w:bCs/>
        </w:rPr>
        <w:t xml:space="preserve">2. Continuous FedRAMP Compliance.</w:t>
      </w:r>
      <w:r>
        <w:t xml:space="preserve"> </w:t>
      </w:r>
      <w:r>
        <w:t xml:space="preserve">Infoblox is one of a small number of DDI platforms with its own FedRAMP Moderate CSO authorization; verify current authorization on the FedRAMP Marketplace at time of procurement, meaning SSA inherits the DDI layer controls rather than re-proving them. Evidence for SC-20/21 (DNSSEC), CM-8 (inventory), IA-5(2) (certificates), AU-12 (audit), and IR-4 (incident response) is generated continuously and automatically — not assembled manually for annual assessments.</w:t>
      </w:r>
    </w:p>
    <w:p>
      <w:pPr>
        <w:pStyle w:val="BodyText"/>
      </w:pPr>
      <w:r>
        <w:rPr>
          <w:b/>
          <w:bCs/>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
          <w:bCs/>
        </w:rPr>
        <w:t xml:space="preserve">Vendor relationships:</w:t>
      </w:r>
      <w:r>
        <w:t xml:space="preserve"> </w:t>
      </w:r>
      <w:r>
        <w:t xml:space="preserve">InfoBlox has formal technology partnerships with all three of SSA’s primary cloud vendors. InfoBlox BloxOne’s own FedRAMP-authorized service runs</w:t>
      </w:r>
      <w:r>
        <w:t xml:space="preserve"> </w:t>
      </w:r>
      <w:r>
        <w:rPr>
          <w:i/>
          <w:iCs/>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t xml:space="preserve">InfoBlox DDI can be deployed via two architecturally distinct paths; the choice determines the FedRAMP authorization inheritance model:</w:t>
      </w:r>
    </w:p>
    <w:p>
      <w:pPr>
        <w:pStyle w:val="BodyText"/>
      </w:pPr>
      <w:r>
        <w:rPr>
          <w:b/>
          <w:bCs/>
        </w:rPr>
        <w:t xml:space="preserve">Path A — BloxOne DDI (Cloud-Managed, FedRAMP ATO Inherited)</w:t>
      </w:r>
    </w:p>
    <w:p>
      <w:pPr>
        <w:pStyle w:val="BodyText"/>
      </w:pPr>
      <w:r>
        <w:t xml:space="preserve">InfoBlox operates the management control plane on AWS GovCloud (CSO FR2017257053, authorized January 2023). The agency deploys BloxOne On-Prem Hosts in each environment; they connect to the InfoBlox-hosted management plane. FedRAMP authorization is inherited from InfoBlox’s ATO — the agency does not carry this component independently. Procurement via AWS GovCloud Marketplace (no separate IDIQ required). Best fit if the agency prefers a managed control plane and the simplest FedRAMP inheritance path.</w:t>
      </w:r>
    </w:p>
    <w:p>
      <w:pPr>
        <w:pStyle w:val="BodyText"/>
      </w:pPr>
      <w:r>
        <w:rPr>
          <w:b/>
          <w:bCs/>
        </w:rPr>
        <w:t xml:space="preserve">Path B — NIOS Grid (Agency-Operated, On-Premises Hub)</w:t>
      </w:r>
    </w:p>
    <w:p>
      <w:pPr>
        <w:pStyle w:val="BodyText"/>
      </w:pPr>
      <w:r>
        <w:t xml:space="preserve">The agency deploys an InfoBlox NIOS virtual appliance as the Grid Master on-premises (VMware ESXi or physical InfoBlox appliance). Grid Members are deployed in each environment (AWS GovCloud, Azure Government, Oracle OCI, additional on-premises sites) as spokes. The on-premises Grid Master is the authoritative hub; all Grid Members replicate configuration from it and handle local DNS/DHCP/IPAM for their environment. The agency documents NIOS within its own FedRAMP boundary — no ATO inheritance from InfoBlox’s CSO. Procurement via GSA Schedule (GS-35F) or agency IDIQ contract vehicle.</w:t>
      </w:r>
    </w:p>
    <w:p>
      <w:pPr>
        <w:pStyle w:val="BlockText"/>
      </w:pPr>
      <w:r>
        <w:rPr>
          <w:b/>
          <w:bCs/>
        </w:rPr>
        <w:t xml:space="preserve">SSA topology note:</w:t>
      </w:r>
      <w:r>
        <w:t xml:space="preserve"> </w:t>
      </w:r>
      <w:r>
        <w:t xml:space="preserve">For SSA’s multi-cloud architecture spanning AWS GovCloud, Azure Government, Oracle OCI, and on-premises VMware, Path B — NIOS Grid with an on-premises Grid Master — more closely matches SSA’s topology. No single cloud provider is the hub; all four environments are equal spokes of the on-premises control plane. The decision between Path A and Path B should involve OIS and the CIO Office, as it determines whether InfoBlox is a shared-responsibility SaaS or an agency-operated infrastructure component. Agency selection pending.</w:t>
      </w:r>
    </w:p>
    <w:p>
      <w:r>
        <w:pict>
          <v:rect style="width:0;height:1.5pt" o:hralign="center" o:hrstd="t" o:hr="t"/>
        </w:pict>
      </w:r>
    </w:p>
    <w:bookmarkEnd w:id="12"/>
    <w:bookmarkStart w:id="28" w:name="sec-landing-zone"/>
    <w:p>
      <w:pPr>
        <w:pStyle w:val="Heading2"/>
      </w:pPr>
      <w:r>
        <w:t xml:space="preserve">1 What Is a Federal Cloud Landing Zone?</w:t>
      </w:r>
    </w:p>
    <w:p>
      <w:pPr>
        <w:pStyle w:val="FirstParagraph"/>
      </w:pPr>
      <w:r>
        <w:t xml:space="preserve">A Cloud Landing Zone is the foundational, pre-configured environment that a federal agency provisions</w:t>
      </w:r>
      <w:r>
        <w:t xml:space="preserve"> </w:t>
      </w:r>
      <w:r>
        <w:rPr>
          <w:i/>
          <w:iCs/>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pStyle w:val="Compact"/>
        <w:numPr>
          <w:ilvl w:val="0"/>
          <w:numId w:val="1001"/>
        </w:numPr>
      </w:pPr>
      <w:r>
        <w:rPr>
          <w:b/>
          <w:bCs/>
        </w:rPr>
        <w:t xml:space="preserve">NIST SP 800-53 Rev 5</w:t>
      </w:r>
      <w:r>
        <w:t xml:space="preserve"> </w:t>
      </w:r>
      <w:r>
        <w:t xml:space="preserve">— the control catalog from which FedRAMP Moderate baselines are drawn</w:t>
      </w:r>
    </w:p>
    <w:p>
      <w:pPr>
        <w:pStyle w:val="Compact"/>
        <w:numPr>
          <w:ilvl w:val="0"/>
          <w:numId w:val="1001"/>
        </w:numPr>
      </w:pPr>
      <w:r>
        <w:rPr>
          <w:b/>
          <w:bCs/>
        </w:rPr>
        <w:t xml:space="preserve">CISA Zero Trust Maturity Model v2.0</w:t>
      </w:r>
      <w:r>
        <w:t xml:space="preserve"> </w:t>
      </w:r>
      <w:r>
        <w:t xml:space="preserve">— five pillars with three cross-cutting capabilities</w:t>
      </w:r>
    </w:p>
    <w:p>
      <w:pPr>
        <w:pStyle w:val="Compact"/>
        <w:numPr>
          <w:ilvl w:val="0"/>
          <w:numId w:val="1001"/>
        </w:numPr>
      </w:pPr>
      <w:r>
        <w:rPr>
          <w:b/>
          <w:bCs/>
        </w:rPr>
        <w:t xml:space="preserve">FedRAMP Moderate</w:t>
      </w:r>
      <w:r>
        <w:t xml:space="preserve"> </w:t>
      </w:r>
      <w:r>
        <w:t xml:space="preserve">— boundary definition, continuous monitoring, evidence packaging</w:t>
      </w:r>
    </w:p>
    <w:p>
      <w:pPr>
        <w:pStyle w:val="Compact"/>
        <w:numPr>
          <w:ilvl w:val="0"/>
          <w:numId w:val="1001"/>
        </w:numPr>
      </w:pPr>
      <w:r>
        <w:rPr>
          <w:b/>
          <w:bCs/>
        </w:rPr>
        <w:t xml:space="preserve">FedRAMP 20x Consolidated Rules (2026)</w:t>
      </w:r>
      <w:r>
        <w:t xml:space="preserve"> </w:t>
      </w:r>
      <w:r>
        <w:t xml:space="preserve">— automated, machine-readable compliance evidence enforced by infrastructure-as-code; Class A/B/C certification pipelines; mandatory January 1, 2027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
                <w:bCs/>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tc>
      </w:tr>
    </w:tbl>
    <w:p>
      <w:pPr>
        <w:pStyle w:val="CaptionedFigure"/>
      </w:pPr>
      <w:r>
        <w:drawing>
          <wp:inline>
            <wp:extent cx="5334000" cy="2963333"/>
            <wp:effectExtent b="0" l="0" r="0" t="0"/>
            <wp:docPr descr="FedRAMP 20x Consolidated Rules for 2026 — Class Timelines and Key Dates" title="" id="17" name="Picture"/>
            <a:graphic>
              <a:graphicData uri="http://schemas.openxmlformats.org/drawingml/2006/picture">
                <pic:pic>
                  <pic:nvPicPr>
                    <pic:cNvPr descr="figs/lz-fig-10-fedramp-20x.png" id="18" name="Picture"/>
                    <pic:cNvPicPr>
                      <a:picLocks noChangeArrowheads="1" noChangeAspect="1"/>
                    </pic:cNvPicPr>
                  </pic:nvPicPr>
                  <pic:blipFill>
                    <a:blip r:embed="rId1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important.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tc>
      </w:tr>
    </w:tbl>
    <w:bookmarkStart w:id="27" w:name="sec-scope"/>
    <w:p>
      <w:pPr>
        <w:pStyle w:val="Heading3"/>
      </w:pPr>
      <w:r>
        <w:t xml:space="preserve">1.1 SSA’s Multi-Cloud Landing Zone Scope</w:t>
      </w:r>
    </w:p>
    <w:p>
      <w:pPr>
        <w:pStyle w:val="CaptionedFigure"/>
      </w:pPr>
      <w:r>
        <w:drawing>
          <wp:inline>
            <wp:extent cx="5334000" cy="2963333"/>
            <wp:effectExtent b="0" l="0" r="0" t="0"/>
            <wp:docPr descr="Four Environments — Blind Islands vs. Unified InfoBlox Visibility" title="" id="22" name="Picture"/>
            <a:graphic>
              <a:graphicData uri="http://schemas.openxmlformats.org/drawingml/2006/picture">
                <pic:pic>
                  <pic:nvPicPr>
                    <pic:cNvPr descr="figs/lz-fig-12-four-env.png" id="23" name="Picture"/>
                    <pic:cNvPicPr>
                      <a:picLocks noChangeArrowheads="1" noChangeAspect="1"/>
                    </pic:cNvPicPr>
                  </pic:nvPicPr>
                  <pic:blipFill>
                    <a:blip r:embed="rId2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5" name="Picture"/>
            <a:graphic>
              <a:graphicData uri="http://schemas.openxmlformats.org/drawingml/2006/picture">
                <pic:pic>
                  <pic:nvPicPr>
                    <pic:cNvPr descr="figs/lz-fig-01-control-hub.png" id="26" name="Picture"/>
                    <pic:cNvPicPr>
                      <a:picLocks noChangeArrowheads="1" noChangeAspect="1"/>
                    </pic:cNvPicPr>
                  </pic:nvPicPr>
                  <pic:blipFill>
                    <a:blip r:embed="rId2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w:t>
      </w:r>
    </w:p>
    <w:tbl>
      <w:tblPr>
        <w:tblStyle w:val="Table"/>
        <w:tblW w:type="pct" w:w="5000"/>
        <w:tblLayout w:type="fixed"/>
        <w:tblLook w:firstRow="1" w:lastRow="0" w:firstColumn="0" w:lastColumn="0" w:noHBand="0" w:noVBand="0" w:val="0020"/>
        <w:tblCaption w:val="SSA Multi-Cloud Environments"/>
      </w:tblPr>
      <w:tblGrid>
        <w:gridCol w:w="1584"/>
        <w:gridCol w:w="1584"/>
        <w:gridCol w:w="1584"/>
        <w:gridCol w:w="1584"/>
        <w:gridCol w:w="1584"/>
      </w:tblGrid>
      <w:tr>
        <w:trPr>
          <w:tblHeader w:val="on"/>
        </w:trPr>
        <w:tc>
          <w:tcPr/>
          <w:p>
            <w:pPr>
              <w:pStyle w:val="Compact"/>
            </w:pPr>
            <w:r>
              <w:t xml:space="preserve">Environment</w:t>
            </w:r>
          </w:p>
        </w:tc>
        <w:tc>
          <w:tcPr/>
          <w:p>
            <w:pPr>
              <w:pStyle w:val="Compact"/>
            </w:pPr>
            <w:r>
              <w:t xml:space="preserve">Platform</w:t>
            </w:r>
          </w:p>
        </w:tc>
        <w:tc>
          <w:tcPr/>
          <w:p>
            <w:pPr>
              <w:pStyle w:val="Compact"/>
            </w:pPr>
            <w:r>
              <w:t xml:space="preserve">SDN Technology</w:t>
            </w:r>
          </w:p>
        </w:tc>
        <w:tc>
          <w:tcPr/>
          <w:p>
            <w:pPr>
              <w:pStyle w:val="Compact"/>
            </w:pPr>
            <w:r>
              <w:t xml:space="preserve">DHCP/IP Model</w:t>
            </w:r>
          </w:p>
        </w:tc>
        <w:tc>
          <w:tcPr/>
          <w:p>
            <w:pPr>
              <w:pStyle w:val="Compact"/>
            </w:pPr>
            <w:r>
              <w:t xml:space="preserve">FedRAMP Boundary</w:t>
            </w:r>
          </w:p>
        </w:tc>
      </w:tr>
      <w:tr>
        <w:tc>
          <w:tcPr/>
          <w:p>
            <w:pPr>
              <w:pStyle w:val="Compact"/>
            </w:pPr>
            <w:r>
              <w:t xml:space="preserve">On-Premises DC</w:t>
            </w:r>
          </w:p>
        </w:tc>
        <w:tc>
          <w:tcPr/>
          <w:p>
            <w:pPr>
              <w:pStyle w:val="Compact"/>
            </w:pPr>
            <w:r>
              <w:t xml:space="preserve">VMware VCF / ESXi</w:t>
            </w:r>
          </w:p>
        </w:tc>
        <w:tc>
          <w:tcPr/>
          <w:p>
            <w:pPr>
              <w:pStyle w:val="Compact"/>
            </w:pPr>
            <w:r>
              <w:t xml:space="preserve">NSX-T overlay (VXLAN/Geneve)</w:t>
            </w:r>
          </w:p>
        </w:tc>
        <w:tc>
          <w:tcPr/>
          <w:p>
            <w:pPr>
              <w:pStyle w:val="Compact"/>
            </w:pPr>
            <w:r>
              <w:t xml:space="preserve">NSX-T DHCP Server Profiles on T1/T0 Gateways</w:t>
            </w:r>
          </w:p>
        </w:tc>
        <w:tc>
          <w:tcPr/>
          <w:p>
            <w:pPr>
              <w:pStyle w:val="Compact"/>
            </w:pPr>
            <w:r>
              <w:t xml:space="preserve">Agency ATO</w:t>
            </w:r>
          </w:p>
        </w:tc>
      </w:tr>
      <w:tr>
        <w:tc>
          <w:tcPr/>
          <w:p>
            <w:pPr>
              <w:pStyle w:val="Compact"/>
            </w:pPr>
            <w:r>
              <w:t xml:space="preserve">Azure Government GCC</w:t>
            </w:r>
          </w:p>
        </w:tc>
        <w:tc>
          <w:tcPr/>
          <w:p>
            <w:pPr>
              <w:pStyle w:val="Compact"/>
            </w:pPr>
            <w:r>
              <w:t xml:space="preserve">Microsoft Azure</w:t>
            </w:r>
          </w:p>
        </w:tc>
        <w:tc>
          <w:tcPr/>
          <w:p>
            <w:pPr>
              <w:pStyle w:val="Compact"/>
            </w:pPr>
            <w:r>
              <w:t xml:space="preserve">Azure VNet (SDN fabric, no broadcast)</w:t>
            </w:r>
          </w:p>
        </w:tc>
        <w:tc>
          <w:tcPr/>
          <w:p>
            <w:pPr>
              <w:pStyle w:val="Compact"/>
            </w:pPr>
            <w:r>
              <w:t xml:space="preserve">Azure fabric assigns IPs; DHCP is abstracted away</w:t>
            </w:r>
          </w:p>
        </w:tc>
        <w:tc>
          <w:tcPr/>
          <w:p>
            <w:pPr>
              <w:pStyle w:val="Compact"/>
            </w:pPr>
            <w:r>
              <w:t xml:space="preserve">Azure Government FedRAMP High</w:t>
            </w:r>
          </w:p>
        </w:tc>
      </w:tr>
      <w:tr>
        <w:tc>
          <w:tcPr/>
          <w:p>
            <w:pPr>
              <w:pStyle w:val="Compact"/>
            </w:pPr>
            <w:r>
              <w:t xml:space="preserve">AWS GovCloud</w:t>
            </w:r>
          </w:p>
        </w:tc>
        <w:tc>
          <w:tcPr/>
          <w:p>
            <w:pPr>
              <w:pStyle w:val="Compact"/>
            </w:pPr>
            <w:r>
              <w:t xml:space="preserve">Amazon AWS</w:t>
            </w:r>
          </w:p>
        </w:tc>
        <w:tc>
          <w:tcPr/>
          <w:p>
            <w:pPr>
              <w:pStyle w:val="Compact"/>
            </w:pPr>
            <w:r>
              <w:t xml:space="preserve">VPC with ENI/Nitro hypervisor</w:t>
            </w:r>
          </w:p>
        </w:tc>
        <w:tc>
          <w:tcPr/>
          <w:p>
            <w:pPr>
              <w:pStyle w:val="Compact"/>
            </w:pPr>
            <w:r>
              <w:t xml:space="preserve">VPC DHCP Options Sets; EC2 metadata service</w:t>
            </w:r>
          </w:p>
        </w:tc>
        <w:tc>
          <w:tcPr/>
          <w:p>
            <w:pPr>
              <w:pStyle w:val="Compact"/>
            </w:pPr>
            <w:r>
              <w:t xml:space="preserve">AWS GovCloud FedRAMP High</w:t>
            </w:r>
          </w:p>
        </w:tc>
      </w:tr>
      <w:tr>
        <w:tc>
          <w:tcPr/>
          <w:p>
            <w:pPr>
              <w:pStyle w:val="Compact"/>
            </w:pPr>
            <w:r>
              <w:t xml:space="preserve">Oracle Cloud OCI (OPM HRIT)</w:t>
            </w:r>
          </w:p>
        </w:tc>
        <w:tc>
          <w:tcPr/>
          <w:p>
            <w:pPr>
              <w:pStyle w:val="Compact"/>
            </w:pPr>
            <w:r>
              <w:t xml:space="preserve">Oracle OCI</w:t>
            </w:r>
          </w:p>
        </w:tc>
        <w:tc>
          <w:tcPr/>
          <w:p>
            <w:pPr>
              <w:pStyle w:val="Compact"/>
            </w:pPr>
            <w:r>
              <w:t xml:space="preserve">VCN with VNIC overlay</w:t>
            </w:r>
          </w:p>
        </w:tc>
        <w:tc>
          <w:tcPr/>
          <w:p>
            <w:pPr>
              <w:pStyle w:val="Compact"/>
            </w:pPr>
            <w:r>
              <w:t xml:space="preserve">OCI DHCP options; instance metadata at 169.254.169.254</w:t>
            </w:r>
          </w:p>
        </w:tc>
        <w:tc>
          <w:tcPr/>
          <w:p>
            <w:pPr>
              <w:pStyle w:val="Compact"/>
            </w:pPr>
            <w:r>
              <w:t xml:space="preserve">OPM ATO (external)</w:t>
            </w:r>
          </w:p>
        </w:tc>
      </w:tr>
    </w:tbl>
    <w:p>
      <w:pPr>
        <w:pStyle w:val="BodyText"/>
      </w:pPr>
      <w:r>
        <w:t xml:space="preserve">The critical observation:</w:t>
      </w:r>
      <w:r>
        <w:t xml:space="preserve"> </w:t>
      </w:r>
      <w:r>
        <w:rPr>
          <w:b/>
          <w:bCs/>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27"/>
    <w:bookmarkEnd w:id="28"/>
    <w:bookmarkStart w:id="42" w:name="sec-sdn"/>
    <w:p>
      <w:pPr>
        <w:pStyle w:val="Heading2"/>
      </w:pPr>
      <w:r>
        <w:t xml:space="preserve">2 SDN and the End of Traditional DHCP</w:t>
      </w:r>
    </w:p>
    <w:p>
      <w:pPr>
        <w:pStyle w:val="CaptionedFigure"/>
      </w:pPr>
      <w:r>
        <w:drawing>
          <wp:inline>
            <wp:extent cx="5334000" cy="2963333"/>
            <wp:effectExtent b="0" l="0" r="0" t="0"/>
            <wp:docPr descr="DNS Query Journey: InfoBlox RPZ Enforcement Gate" title="" id="30" name="Picture"/>
            <a:graphic>
              <a:graphicData uri="http://schemas.openxmlformats.org/drawingml/2006/picture">
                <pic:pic>
                  <pic:nvPicPr>
                    <pic:cNvPr descr="figs/lz-fig-08-dns-journey.png" id="31" name="Picture"/>
                    <pic:cNvPicPr>
                      <a:picLocks noChangeArrowheads="1" noChangeAspect="1"/>
                    </pic:cNvPicPr>
                  </pic:nvPicPr>
                  <pic:blipFill>
                    <a:blip r:embed="rId2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3" name="Picture"/>
            <a:graphic>
              <a:graphicData uri="http://schemas.openxmlformats.org/drawingml/2006/picture">
                <pic:pic>
                  <pic:nvPicPr>
                    <pic:cNvPr descr="figs/lz-fig-02-sdn-dhcp.png" id="34" name="Picture"/>
                    <pic:cNvPicPr>
                      <a:picLocks noChangeArrowheads="1" noChangeAspect="1"/>
                    </pic:cNvPicPr>
                  </pic:nvPicPr>
                  <pic:blipFill>
                    <a:blip r:embed="rId3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38" w:name="sec-nsx"/>
    <w:p>
      <w:pPr>
        <w:pStyle w:val="Heading3"/>
      </w:pPr>
      <w:r>
        <w:t xml:space="preserve">2.1 VMware NSX-T: DHCP Server Profiles and VCF 9.1 Native Integration</w:t>
      </w:r>
    </w:p>
    <w:p>
      <w:pPr>
        <w:pStyle w:val="FirstParagraph"/>
      </w:pPr>
      <w:r>
        <w:t xml:space="preserve">VMware NSX-T replaces broadcast DHCP with</w:t>
      </w:r>
      <w:r>
        <w:t xml:space="preserve"> </w:t>
      </w:r>
      <w:r>
        <w:rPr>
          <w:b/>
          <w:bCs/>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
          <w:bCs/>
        </w:rPr>
        <w:t xml:space="preserve">9.1</w:t>
      </w:r>
      <w:r>
        <w:t xml:space="preserve"> </w:t>
      </w:r>
      <w:r>
        <w:t xml:space="preserve">(released May 2026) introduced native InfoBlox DDI integration as a first-class feature:</w:t>
      </w:r>
    </w:p>
    <w:p>
      <w:pPr>
        <w:pStyle w:val="Compact"/>
        <w:numPr>
          <w:ilvl w:val="0"/>
          <w:numId w:val="1002"/>
        </w:numPr>
      </w:pPr>
      <w:r>
        <w:t xml:space="preserve">VCF Automation tenant requests a new network segment</w:t>
      </w:r>
    </w:p>
    <w:p>
      <w:pPr>
        <w:pStyle w:val="Compact"/>
        <w:numPr>
          <w:ilvl w:val="0"/>
          <w:numId w:val="1002"/>
        </w:numPr>
      </w:pPr>
      <w:r>
        <w:t xml:space="preserve">VCF background service calls InfoBlox NIOS WAPI or BloxOne REST API to reserve an IP block</w:t>
      </w:r>
    </w:p>
    <w:p>
      <w:pPr>
        <w:pStyle w:val="Compact"/>
        <w:numPr>
          <w:ilvl w:val="0"/>
          <w:numId w:val="1002"/>
        </w:numPr>
      </w:pPr>
      <w:r>
        <w:t xml:space="preserve">NSX-T creates the logical segment using the InfoBlox-allocated CIDR</w:t>
      </w:r>
    </w:p>
    <w:p>
      <w:pPr>
        <w:pStyle w:val="Compact"/>
        <w:numPr>
          <w:ilvl w:val="0"/>
          <w:numId w:val="1002"/>
        </w:numPr>
      </w:pPr>
      <w:r>
        <w:t xml:space="preserve">InfoBlox records the segment name, CIDR, VLAN/VNI, and tenant as extensible attributes</w:t>
      </w:r>
    </w:p>
    <w:p>
      <w:pPr>
        <w:pStyle w:val="Compact"/>
        <w:numPr>
          <w:ilvl w:val="0"/>
          <w:numId w:val="1002"/>
        </w:numPr>
      </w:pPr>
      <w:r>
        <w:t xml:space="preserve">When VMs deploy, NSX-T DHCP assigns IPs; InfoBlox receives assignments via the IPAM plugin</w:t>
      </w:r>
    </w:p>
    <w:p>
      <w:pPr>
        <w:pStyle w:val="Compact"/>
        <w:numPr>
          <w:ilvl w:val="0"/>
          <w:numId w:val="1002"/>
        </w:numPr>
      </w:pPr>
      <w:r>
        <w:t xml:space="preserve">DNS A/PTR records for each VM are created automatically — no manual DNS entry required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p/>
        </w:tc>
      </w:tr>
    </w:tbl>
    <w:bookmarkEnd w:id="38"/>
    <w:bookmarkStart w:id="39" w:name="sec-azure"/>
    <w:p>
      <w:pPr>
        <w:pStyle w:val="Heading3"/>
      </w:pPr>
      <w:r>
        <w:t xml:space="preserve">2.2 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
          <w:bCs/>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39"/>
    <w:bookmarkStart w:id="40" w:name="sec-aws-dhcp"/>
    <w:p>
      <w:pPr>
        <w:pStyle w:val="Heading3"/>
      </w:pPr>
      <w:r>
        <w:t xml:space="preserve">2.3 AWS GovCloud: VPC DHCP Options and the Nitro Hypervisor</w:t>
      </w:r>
    </w:p>
    <w:p>
      <w:pPr>
        <w:pStyle w:val="FirstParagraph"/>
      </w:pPr>
      <w:r>
        <w:t xml:space="preserve">AWS VPCs use</w:t>
      </w:r>
      <w:r>
        <w:t xml:space="preserve"> </w:t>
      </w:r>
      <w:r>
        <w:rPr>
          <w:b/>
          <w:bCs/>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
          <w:bCs/>
        </w:rPr>
        <w:t xml:space="preserve">AWS connector</w:t>
      </w:r>
      <w:r>
        <w:t xml:space="preserve"> </w:t>
      </w:r>
      <w:r>
        <w:t xml:space="preserve">syncs EC2 instance IP assignments, subnet CIDRs, and VPC IPAM pool allocations into the AWS-GovCloud Network View.</w:t>
      </w:r>
    </w:p>
    <w:bookmarkEnd w:id="40"/>
    <w:bookmarkStart w:id="41" w:name="sec-oci-dhcp"/>
    <w:p>
      <w:pPr>
        <w:pStyle w:val="Heading3"/>
      </w:pPr>
      <w:r>
        <w:t xml:space="preserve">2.4 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41"/>
    <w:bookmarkEnd w:id="42"/>
    <w:bookmarkStart w:id="82" w:name="sec-infoblox"/>
    <w:p>
      <w:pPr>
        <w:pStyle w:val="Heading2"/>
      </w:pPr>
      <w:r>
        <w:t xml:space="preserve">3 InfoBlox as the SDN-Aware IPAM Control Plane</w:t>
      </w:r>
    </w:p>
    <w:p>
      <w:pPr>
        <w:pStyle w:val="FirstParagraph"/>
      </w:pPr>
      <w:r>
        <w:t xml:space="preserve">InfoBlox DDI operates as a</w:t>
      </w:r>
      <w:r>
        <w:t xml:space="preserve"> </w:t>
      </w:r>
      <w:r>
        <w:rPr>
          <w:b/>
          <w:bCs/>
        </w:rPr>
        <w:t xml:space="preserve">control plane over SDN environments</w:t>
      </w:r>
      <w:r>
        <w:t xml:space="preserve"> </w:t>
      </w:r>
      <w:r>
        <w:t xml:space="preserve">— not replacing the SDN fabric’s internal IP assignment mechanisms, but serving as the authoritative record and policy engine above them.</w:t>
      </w:r>
    </w:p>
    <w:p>
      <w:pPr>
        <w:pStyle w:val="CaptionedFigure"/>
      </w:pPr>
      <w:r>
        <w:drawing>
          <wp:inline>
            <wp:extent cx="5334000" cy="2461846"/>
            <wp:effectExtent b="0" l="0" r="0" t="0"/>
            <wp:docPr descr="From Manual Address Management to a Policy-Driven DDI Control Plane" title="" id="44" name="Picture"/>
            <a:graphic>
              <a:graphicData uri="http://schemas.openxmlformats.org/drawingml/2006/picture">
                <pic:pic>
                  <pic:nvPicPr>
                    <pic:cNvPr descr="figs/lz-fig-19-legacy-modern-ipam.png" id="45" name="Picture"/>
                    <pic:cNvPicPr>
                      <a:picLocks noChangeArrowheads="1" noChangeAspect="1"/>
                    </pic:cNvPicPr>
                  </pic:nvPicPr>
                  <pic:blipFill>
                    <a:blip r:embed="rId43"/>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From Manual Address Management to a Policy-Driven DDI Control Plane</w:t>
      </w:r>
    </w:p>
    <w:bookmarkStart w:id="46" w:name="sec-value"/>
    <w:p>
      <w:pPr>
        <w:pStyle w:val="Heading3"/>
      </w:pPr>
      <w:r>
        <w:t xml:space="preserve">3.1 What InfoBlox Provides That SDN Cannot</w:t>
      </w:r>
    </w:p>
    <w:p>
      <w:pPr>
        <w:pStyle w:val="TableCaption"/>
      </w:pPr>
      <w:r>
        <w:t xml:space="preserve">InfoBlox Value-Add Over Native SDN</w:t>
      </w:r>
    </w:p>
    <w:tbl>
      <w:tblPr>
        <w:tblStyle w:val="Table"/>
        <w:tblW w:type="pct" w:w="5000"/>
        <w:tblLayout w:type="fixed"/>
        <w:tblLook w:firstRow="1" w:lastRow="0" w:firstColumn="0" w:lastColumn="0" w:noHBand="0" w:noVBand="0" w:val="0020"/>
        <w:tblCaption w:val="InfoBlox Value-Add Over Native SDN"/>
      </w:tblPr>
      <w:tblGrid>
        <w:gridCol w:w="2640"/>
        <w:gridCol w:w="2640"/>
        <w:gridCol w:w="2640"/>
      </w:tblGrid>
      <w:tr>
        <w:trPr>
          <w:tblHeader w:val="on"/>
        </w:trPr>
        <w:tc>
          <w:tcPr/>
          <w:p>
            <w:pPr>
              <w:pStyle w:val="Compact"/>
            </w:pPr>
            <w:r>
              <w:t xml:space="preserve">Capability</w:t>
            </w:r>
          </w:p>
        </w:tc>
        <w:tc>
          <w:tcPr/>
          <w:p>
            <w:pPr>
              <w:pStyle w:val="Compact"/>
            </w:pPr>
            <w:r>
              <w:t xml:space="preserve">What SDN Platforms Provide</w:t>
            </w:r>
          </w:p>
        </w:tc>
        <w:tc>
          <w:tcPr/>
          <w:p>
            <w:pPr>
              <w:pStyle w:val="Compact"/>
            </w:pPr>
            <w:r>
              <w:t xml:space="preserve">What InfoBlox Adds</w:t>
            </w:r>
          </w:p>
        </w:tc>
      </w:tr>
      <w:tr>
        <w:tc>
          <w:tcPr/>
          <w:p>
            <w:pPr>
              <w:pStyle w:val="Compact"/>
            </w:pPr>
            <w:r>
              <w:t xml:space="preserve">IP assignment</w:t>
            </w:r>
          </w:p>
        </w:tc>
        <w:tc>
          <w:tcPr/>
          <w:p>
            <w:pPr>
              <w:pStyle w:val="Compact"/>
            </w:pPr>
            <w:r>
              <w:t xml:space="preserve">Per-environment only</w:t>
            </w:r>
          </w:p>
        </w:tc>
        <w:tc>
          <w:tcPr/>
          <w:p>
            <w:pPr>
              <w:pStyle w:val="Compact"/>
            </w:pPr>
            <w:r>
              <w:t xml:space="preserve">Cross-cloud conflict detection before allocation</w:t>
            </w:r>
          </w:p>
        </w:tc>
      </w:tr>
      <w:tr>
        <w:tc>
          <w:tcPr/>
          <w:p>
            <w:pPr>
              <w:pStyle w:val="Compact"/>
            </w:pPr>
            <w:r>
              <w:t xml:space="preserve">DNS</w:t>
            </w:r>
          </w:p>
        </w:tc>
        <w:tc>
          <w:tcPr/>
          <w:p>
            <w:pPr>
              <w:pStyle w:val="Compact"/>
            </w:pPr>
            <w:r>
              <w:t xml:space="preserve">Per-environment resolver</w:t>
            </w:r>
          </w:p>
        </w:tc>
        <w:tc>
          <w:tcPr/>
          <w:p>
            <w:pPr>
              <w:pStyle w:val="Compact"/>
            </w:pPr>
            <w:r>
              <w:t xml:space="preserve">Authoritative + recursive with DNSSEC, unified across all four</w:t>
            </w:r>
          </w:p>
        </w:tc>
      </w:tr>
      <w:tr>
        <w:tc>
          <w:tcPr/>
          <w:p>
            <w:pPr>
              <w:pStyle w:val="Compact"/>
            </w:pPr>
            <w:r>
              <w:t xml:space="preserve">DHCP inventory</w:t>
            </w:r>
          </w:p>
        </w:tc>
        <w:tc>
          <w:tcPr/>
          <w:p>
            <w:pPr>
              <w:pStyle w:val="Compact"/>
            </w:pPr>
            <w:r>
              <w:t xml:space="preserve">Per-VPC/VNet/segment dashboard</w:t>
            </w:r>
          </w:p>
        </w:tc>
        <w:tc>
          <w:tcPr/>
          <w:p>
            <w:pPr>
              <w:pStyle w:val="Compact"/>
            </w:pPr>
            <w:r>
              <w:t xml:space="preserve">Single CM-8-ready inventory spanning all environments</w:t>
            </w:r>
          </w:p>
        </w:tc>
      </w:tr>
      <w:tr>
        <w:tc>
          <w:tcPr/>
          <w:p>
            <w:pPr>
              <w:pStyle w:val="Compact"/>
            </w:pPr>
            <w:r>
              <w:t xml:space="preserve">Certificate management</w:t>
            </w:r>
          </w:p>
        </w:tc>
        <w:tc>
          <w:tcPr/>
          <w:p>
            <w:pPr>
              <w:pStyle w:val="Compact"/>
            </w:pPr>
            <w:r>
              <w:t xml:space="preserve">None / per-CA</w:t>
            </w:r>
          </w:p>
        </w:tc>
        <w:tc>
          <w:tcPr/>
          <w:p>
            <w:pPr>
              <w:pStyle w:val="Compact"/>
            </w:pPr>
            <w:r>
              <w:t xml:space="preserve">Certificate Tracker links cert to IP host record, expiry alerts</w:t>
            </w:r>
          </w:p>
        </w:tc>
      </w:tr>
      <w:tr>
        <w:tc>
          <w:tcPr/>
          <w:p>
            <w:pPr>
              <w:pStyle w:val="Compact"/>
            </w:pPr>
            <w:r>
              <w:t xml:space="preserve">Threat blocking</w:t>
            </w:r>
          </w:p>
        </w:tc>
        <w:tc>
          <w:tcPr/>
          <w:p>
            <w:pPr>
              <w:pStyle w:val="Compact"/>
            </w:pPr>
            <w:r>
              <w:t xml:space="preserve">Per-environment (DNS Firewall, NSG)</w:t>
            </w:r>
          </w:p>
        </w:tc>
        <w:tc>
          <w:tcPr/>
          <w:p>
            <w:pPr>
              <w:pStyle w:val="Compact"/>
            </w:pPr>
            <w:r>
              <w:t xml:space="preserve">Single RPZ policy propagated to all Grid Members in seconds</w:t>
            </w:r>
          </w:p>
        </w:tc>
      </w:tr>
      <w:tr>
        <w:tc>
          <w:tcPr/>
          <w:p>
            <w:pPr>
              <w:pStyle w:val="Compact"/>
            </w:pPr>
            <w:r>
              <w:t xml:space="preserve">Audit logging</w:t>
            </w:r>
          </w:p>
        </w:tc>
        <w:tc>
          <w:tcPr/>
          <w:p>
            <w:pPr>
              <w:pStyle w:val="Compact"/>
            </w:pPr>
            <w:r>
              <w:t xml:space="preserve">Per-environment log silo</w:t>
            </w:r>
          </w:p>
        </w:tc>
        <w:tc>
          <w:tcPr/>
          <w:p>
            <w:pPr>
              <w:pStyle w:val="Compact"/>
            </w:pPr>
            <w:r>
              <w:t xml:space="preserve">Single syslog stream to SIEM, AU-12 evidence</w:t>
            </w:r>
          </w:p>
        </w:tc>
      </w:tr>
      <w:tr>
        <w:tc>
          <w:tcPr/>
          <w:p>
            <w:pPr>
              <w:pStyle w:val="Compact"/>
            </w:pPr>
            <w:r>
              <w:t xml:space="preserve">IaC integration</w:t>
            </w:r>
          </w:p>
        </w:tc>
        <w:tc>
          <w:tcPr/>
          <w:p>
            <w:pPr>
              <w:pStyle w:val="Compact"/>
            </w:pPr>
            <w:r>
              <w:t xml:space="preserve">Per-cloud provider only</w:t>
            </w:r>
          </w:p>
        </w:tc>
        <w:tc>
          <w:tcPr/>
          <w:p>
            <w:pPr>
              <w:pStyle w:val="Compact"/>
            </w:pPr>
            <w:r>
              <w:t xml:space="preserve">Terraform InfoBlox provider works across all environments</w:t>
            </w:r>
          </w:p>
        </w:tc>
      </w:tr>
    </w:tbl>
    <w:bookmarkEnd w:id="46"/>
    <w:bookmarkStart w:id="52" w:name="sec-gridmaster-trust"/>
    <w:p>
      <w:pPr>
        <w:pStyle w:val="Heading3"/>
      </w:pPr>
      <w:r>
        <w:t xml:space="preserve">3.2 Grid Master Deployment — On-Premises VMware and the Trust Case</w:t>
      </w:r>
    </w:p>
    <w:p>
      <w:pPr>
        <w:pStyle w:val="FirstParagraph"/>
      </w:pPr>
      <w:r>
        <w:t xml:space="preserve">For SSA, the InfoBlox NIOS Grid Master should be deployed as a</w:t>
      </w:r>
      <w:r>
        <w:t xml:space="preserve"> </w:t>
      </w:r>
      <w:r>
        <w:rPr>
          <w:b/>
          <w:bCs/>
        </w:rPr>
        <w:t xml:space="preserve">virtual machine on on-premises VMware infrastructure</w:t>
      </w:r>
      <w:r>
        <w:t xml:space="preserve"> </w:t>
      </w:r>
      <w:r>
        <w:t xml:space="preserve">(Path B from the Executive Summary). This is not only a technical topology choice — it is a trust architecture decision. DNS, DHCP, and IPAM together constitute the network naming and addressing control plane: every device’s address, every workload’s hostname, and every certificate’s subject name flows through them. Placing the Grid Master on-premises means SSA retains:</w:t>
      </w:r>
    </w:p>
    <w:p>
      <w:pPr>
        <w:pStyle w:val="Compact"/>
        <w:numPr>
          <w:ilvl w:val="0"/>
          <w:numId w:val="1003"/>
        </w:numPr>
      </w:pPr>
      <w:r>
        <w:rPr>
          <w:b/>
          <w:bCs/>
        </w:rPr>
        <w:t xml:space="preserve">Hypervisor-layer control</w:t>
      </w:r>
      <w:r>
        <w:t xml:space="preserve"> </w:t>
      </w:r>
      <w:r>
        <w:t xml:space="preserve">— the Grid Master VM runs under SSA infrastructure team governance, not a cloud provider’s control plane</w:t>
      </w:r>
    </w:p>
    <w:p>
      <w:pPr>
        <w:pStyle w:val="Compact"/>
        <w:numPr>
          <w:ilvl w:val="0"/>
          <w:numId w:val="1003"/>
        </w:numPr>
      </w:pPr>
      <w:r>
        <w:rPr>
          <w:b/>
          <w:bCs/>
        </w:rPr>
        <w:t xml:space="preserve">Physical network isolation</w:t>
      </w:r>
      <w:r>
        <w:t xml:space="preserve"> </w:t>
      </w:r>
      <w:r>
        <w:t xml:space="preserve">— the master is reachable from all four environments via dedicated management interfaces, not via public internet or cloud-provider backbone</w:t>
      </w:r>
    </w:p>
    <w:p>
      <w:pPr>
        <w:pStyle w:val="Compact"/>
        <w:numPr>
          <w:ilvl w:val="0"/>
          <w:numId w:val="1003"/>
        </w:numPr>
      </w:pPr>
      <w:r>
        <w:rPr>
          <w:b/>
          <w:bCs/>
        </w:rPr>
        <w:t xml:space="preserve">No single-cloud dependency</w:t>
      </w:r>
      <w:r>
        <w:t xml:space="preserve"> </w:t>
      </w:r>
      <w:r>
        <w:t xml:space="preserve">— if any one cloud environment (AWS GovCloud, Azure Government, OCI) experiences an outage or a control-plane incident, the Grid Master continues to function from on-premises</w:t>
      </w:r>
    </w:p>
    <w:p>
      <w:pPr>
        <w:pStyle w:val="Compact"/>
        <w:numPr>
          <w:ilvl w:val="0"/>
          <w:numId w:val="1003"/>
        </w:numPr>
      </w:pPr>
      <w:r>
        <w:rPr>
          <w:b/>
          <w:bCs/>
        </w:rPr>
        <w:t xml:space="preserve">Boundary clarity</w:t>
      </w:r>
      <w:r>
        <w:t xml:space="preserve"> </w:t>
      </w:r>
      <w:r>
        <w:t xml:space="preserve">— the NIOS Grid falls within SSA’s own FedRAMP authorization boundary; the agency controls the ATO evidence rather than inheriting it from a vendor CSO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important.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Trust rationale:</w:t>
            </w:r>
            <w:r>
              <w:t xml:space="preserve"> </w:t>
            </w:r>
            <w:r>
              <w:t xml:space="preserve">DNS poisoning, DHCP scope hijacking, and IPAM record manipulation are among the highest-impact attack vectors against network infrastructure. An adversary who controls the Grid Master can redirect any FQDN, drain any IP subnet, or suppress any workload’s DNS record — effectively owning the naming plane for all four SSA environments simultaneously. On-premises VMware deployment keeps this function under SSA’s direct institutional control.</w:t>
            </w:r>
          </w:p>
          <w:p>
            <w:pPr>
              <w:pStyle w:val="BodyText"/>
            </w:pPr>
            <w:pPr>
              <w:spacing w:after="16"/>
            </w:pPr>
            <w:r>
              <w:rPr>
                <w:b/>
                <w:bCs/>
              </w:rPr>
              <w:t xml:space="preserve">OIS and the CIO Office must validate the trust boundary decision and define the Grid Admin role-holder accountability model before the Grid is deployed.</w:t>
            </w:r>
          </w:p>
          <w:p/>
        </w:tc>
      </w:tr>
    </w:tbl>
    <w:p>
      <w:pPr>
        <w:pStyle w:val="CaptionedFigure"/>
      </w:pPr>
      <w:r>
        <w:drawing>
          <wp:inline>
            <wp:extent cx="5334000" cy="2667000"/>
            <wp:effectExtent b="0" l="0" r="0" t="0"/>
            <wp:docPr descr="InfoBlox NIOS Grid Master — Least-Privilege Delegation Model" title="" id="50" name="Picture"/>
            <a:graphic>
              <a:graphicData uri="http://schemas.openxmlformats.org/drawingml/2006/picture">
                <pic:pic>
                  <pic:nvPicPr>
                    <pic:cNvPr descr="figs/lz-fig-20-ipam-delegation.png" id="51"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NIOS Grid Master — Least-Privilege Delegation Model</w:t>
      </w:r>
    </w:p>
    <w:bookmarkEnd w:id="52"/>
    <w:bookmarkStart w:id="53" w:name="sec-ipam-delegation"/>
    <w:p>
      <w:pPr>
        <w:pStyle w:val="Heading3"/>
      </w:pPr>
      <w:r>
        <w:t xml:space="preserve">3.3 Least-Privilege Role Delegation</w:t>
      </w:r>
    </w:p>
    <w:p>
      <w:pPr>
        <w:pStyle w:val="FirstParagraph"/>
      </w:pPr>
      <w:r>
        <w:t xml:space="preserve">The Grid Master holds total administrative authority over DNS, DHCP, and IPAM. That authority</w:t>
      </w:r>
      <w:r>
        <w:t xml:space="preserve"> </w:t>
      </w:r>
      <w:r>
        <w:rPr>
          <w:b/>
          <w:bCs/>
        </w:rPr>
        <w:t xml:space="preserve">must not reside in a single operational role</w:t>
      </w:r>
      <w:r>
        <w:t xml:space="preserve">. SSA should structure InfoBlox administrative access as four delegated function areas, each assigned to the owning CIO Component with read/write access scoped only to their area:</w:t>
      </w:r>
    </w:p>
    <w:p>
      <w:pPr>
        <w:pStyle w:val="TableCaption"/>
      </w:pPr>
      <w:r>
        <w:t xml:space="preserve">InfoBlox Least-Privilege Role Delegation</w:t>
      </w:r>
    </w:p>
    <w:tbl>
      <w:tblPr>
        <w:tblStyle w:val="Table"/>
        <w:tblW w:type="pct" w:w="5000"/>
        <w:tblLayout w:type="fixed"/>
        <w:tblLook w:firstRow="1" w:lastRow="0" w:firstColumn="0" w:lastColumn="0" w:noHBand="0" w:noVBand="0" w:val="0020"/>
        <w:tblCaption w:val="InfoBlox Least-Privilege Role Delegation"/>
      </w:tblPr>
      <w:tblGrid>
        <w:gridCol w:w="1980"/>
        <w:gridCol w:w="1980"/>
        <w:gridCol w:w="1980"/>
        <w:gridCol w:w="1980"/>
      </w:tblGrid>
      <w:tr>
        <w:trPr>
          <w:tblHeader w:val="on"/>
        </w:trPr>
        <w:tc>
          <w:tcPr/>
          <w:p>
            <w:pPr>
              <w:pStyle w:val="Compact"/>
            </w:pPr>
            <w:r>
              <w:t xml:space="preserve">Function</w:t>
            </w:r>
          </w:p>
        </w:tc>
        <w:tc>
          <w:tcPr/>
          <w:p>
            <w:pPr>
              <w:pStyle w:val="Compact"/>
            </w:pPr>
            <w:r>
              <w:t xml:space="preserve">Delegated To</w:t>
            </w:r>
          </w:p>
        </w:tc>
        <w:tc>
          <w:tcPr/>
          <w:p>
            <w:pPr>
              <w:pStyle w:val="Compact"/>
            </w:pPr>
            <w:r>
              <w:t xml:space="preserve">Scope</w:t>
            </w:r>
          </w:p>
        </w:tc>
        <w:tc>
          <w:tcPr/>
          <w:p>
            <w:pPr>
              <w:pStyle w:val="Compact"/>
            </w:pPr>
            <w:r>
              <w:t xml:space="preserve">Cannot Access</w:t>
            </w:r>
          </w:p>
        </w:tc>
      </w:tr>
      <w:tr>
        <w:tc>
          <w:tcPr/>
          <w:p>
            <w:pPr>
              <w:pStyle w:val="Compact"/>
            </w:pPr>
            <w:r>
              <w:rPr>
                <w:b/>
                <w:bCs/>
              </w:rPr>
              <w:t xml:space="preserve">DNS zone management</w:t>
            </w:r>
          </w:p>
        </w:tc>
        <w:tc>
          <w:tcPr/>
          <w:p>
            <w:pPr>
              <w:pStyle w:val="Compact"/>
            </w:pPr>
            <w:r>
              <w:t xml:space="preserve">Network / DNS Team</w:t>
            </w:r>
          </w:p>
        </w:tc>
        <w:tc>
          <w:tcPr/>
          <w:p>
            <w:pPr>
              <w:pStyle w:val="Compact"/>
            </w:pPr>
            <w:r>
              <w:t xml:space="preserve">Read/write on assigned DNS zones; DNSSEC key custody shared with OIS</w:t>
            </w:r>
          </w:p>
        </w:tc>
        <w:tc>
          <w:tcPr/>
          <w:p>
            <w:pPr>
              <w:pStyle w:val="Compact"/>
            </w:pPr>
            <w:r>
              <w:t xml:space="preserve">Other CIO Component zones; DHCP config; SCEP triggers</w:t>
            </w:r>
          </w:p>
        </w:tc>
      </w:tr>
      <w:tr>
        <w:tc>
          <w:tcPr/>
          <w:p>
            <w:pPr>
              <w:pStyle w:val="Compact"/>
            </w:pPr>
            <w:r>
              <w:rPr>
                <w:b/>
                <w:bCs/>
              </w:rPr>
              <w:t xml:space="preserve">DHCP scope management</w:t>
            </w:r>
          </w:p>
        </w:tc>
        <w:tc>
          <w:tcPr/>
          <w:p>
            <w:pPr>
              <w:pStyle w:val="Compact"/>
            </w:pPr>
            <w:r>
              <w:t xml:space="preserve">Network Infrastructure Team</w:t>
            </w:r>
          </w:p>
        </w:tc>
        <w:tc>
          <w:tcPr/>
          <w:p>
            <w:pPr>
              <w:pStyle w:val="Compact"/>
            </w:pPr>
            <w:r>
              <w:t xml:space="preserve">Read/write on assigned IP subnets and DHCP scopes</w:t>
            </w:r>
          </w:p>
        </w:tc>
        <w:tc>
          <w:tcPr/>
          <w:p>
            <w:pPr>
              <w:pStyle w:val="Compact"/>
            </w:pPr>
            <w:r>
              <w:t xml:space="preserve">DNS zone records; other teams’ subnets; SCEP policy</w:t>
            </w:r>
          </w:p>
        </w:tc>
      </w:tr>
      <w:tr>
        <w:tc>
          <w:tcPr/>
          <w:p>
            <w:pPr>
              <w:pStyle w:val="Compact"/>
            </w:pPr>
            <w:r>
              <w:rPr>
                <w:b/>
                <w:bCs/>
              </w:rPr>
              <w:t xml:space="preserve">SCEP / cert binding</w:t>
            </w:r>
          </w:p>
        </w:tc>
        <w:tc>
          <w:tcPr/>
          <w:p>
            <w:pPr>
              <w:pStyle w:val="Compact"/>
            </w:pPr>
            <w:r>
              <w:t xml:space="preserve">OIS / PKI Team</w:t>
            </w:r>
          </w:p>
        </w:tc>
        <w:tc>
          <w:tcPr/>
          <w:p>
            <w:pPr>
              <w:pStyle w:val="Compact"/>
            </w:pPr>
            <w:r>
              <w:t xml:space="preserve">Trigger SCEP enrollment at A-record creation; bind cert CN to DNS FQDN</w:t>
            </w:r>
          </w:p>
        </w:tc>
        <w:tc>
          <w:tcPr/>
          <w:p>
            <w:pPr>
              <w:pStyle w:val="Compact"/>
            </w:pPr>
            <w:r>
              <w:t xml:space="preserve">Zone configuration; DHCP scopes; other teams’ cert policies</w:t>
            </w:r>
          </w:p>
        </w:tc>
      </w:tr>
      <w:tr>
        <w:tc>
          <w:tcPr/>
          <w:p>
            <w:pPr>
              <w:pStyle w:val="Compact"/>
            </w:pPr>
            <w:r>
              <w:rPr>
                <w:b/>
                <w:bCs/>
              </w:rPr>
              <w:t xml:space="preserve">Cloud Grid Member management</w:t>
            </w:r>
          </w:p>
        </w:tc>
        <w:tc>
          <w:tcPr/>
          <w:p>
            <w:pPr>
              <w:pStyle w:val="Compact"/>
            </w:pPr>
            <w:r>
              <w:t xml:space="preserve">Per-environment Cloud Infra Teams (AWS GovCloud, Azure Government, OCI)</w:t>
            </w:r>
          </w:p>
        </w:tc>
        <w:tc>
          <w:tcPr/>
          <w:p>
            <w:pPr>
              <w:pStyle w:val="Compact"/>
            </w:pPr>
            <w:r>
              <w:t xml:space="preserve">Configure local Grid Member for assigned cloud environment</w:t>
            </w:r>
          </w:p>
        </w:tc>
        <w:tc>
          <w:tcPr/>
          <w:p>
            <w:pPr>
              <w:pStyle w:val="Compact"/>
            </w:pPr>
            <w:r>
              <w:t xml:space="preserve">Grid Master policy; other environments’ Grid Members</w:t>
            </w:r>
          </w:p>
        </w:tc>
      </w:tr>
      <w:tr>
        <w:tc>
          <w:tcPr/>
          <w:p>
            <w:pPr>
              <w:pStyle w:val="Compact"/>
            </w:pPr>
            <w:r>
              <w:rPr>
                <w:b/>
                <w:bCs/>
              </w:rPr>
              <w:t xml:space="preserve">Grid Admin (full authority)</w:t>
            </w:r>
          </w:p>
        </w:tc>
        <w:tc>
          <w:tcPr/>
          <w:p>
            <w:pPr>
              <w:pStyle w:val="Compact"/>
            </w:pPr>
            <w:r>
              <w:t xml:space="preserve">CIO/OIS-designated Grid Administrator</w:t>
            </w:r>
          </w:p>
        </w:tc>
        <w:tc>
          <w:tcPr/>
          <w:p>
            <w:pPr>
              <w:pStyle w:val="Compact"/>
            </w:pPr>
            <w:r>
              <w:t xml:space="preserve">Full DDI policy control</w:t>
            </w:r>
          </w:p>
        </w:tc>
        <w:tc>
          <w:tcPr/>
          <w:p>
            <w:pPr>
              <w:pStyle w:val="Compact"/>
            </w:pPr>
            <w:r>
              <w:t xml:space="preserve">— (must be protected with MFA + privileged access workstation)</w:t>
            </w:r>
          </w:p>
        </w:tc>
      </w:tr>
    </w:tbl>
    <w:p>
      <w:pPr>
        <w:pStyle w:val="BodyText"/>
      </w:pPr>
      <w:r>
        <w:rPr>
          <w:b/>
          <w:bCs/>
        </w:rPr>
        <w:t xml:space="preserve">DNS function separation applies to sub-functions as well.</w:t>
      </w:r>
      <w:r>
        <w:t xml:space="preserve"> </w:t>
      </w:r>
      <w:r>
        <w:t xml:space="preserve">Within DNS zone management, component-level zone delegation allows different CIO Components to own their sub-namespaces:</w:t>
      </w:r>
    </w:p>
    <w:p>
      <w:pPr>
        <w:pStyle w:val="Compact"/>
        <w:numPr>
          <w:ilvl w:val="0"/>
          <w:numId w:val="1004"/>
        </w:numPr>
      </w:pPr>
      <w:r>
        <w:rPr>
          <w:rStyle w:val="VerbatimChar"/>
        </w:rPr>
        <w:t xml:space="preserve">aws.ssa.gov</w:t>
      </w:r>
      <w:r>
        <w:t xml:space="preserve"> </w:t>
      </w:r>
      <w:r>
        <w:t xml:space="preserve">sub-zone — delegated to Cloud Infrastructure team (AWS)</w:t>
      </w:r>
    </w:p>
    <w:p>
      <w:pPr>
        <w:pStyle w:val="Compact"/>
        <w:numPr>
          <w:ilvl w:val="0"/>
          <w:numId w:val="1004"/>
        </w:numPr>
      </w:pPr>
      <w:r>
        <w:rPr>
          <w:rStyle w:val="VerbatimChar"/>
        </w:rPr>
        <w:t xml:space="preserve">azure.ssa.gov</w:t>
      </w:r>
      <w:r>
        <w:t xml:space="preserve"> </w:t>
      </w:r>
      <w:r>
        <w:t xml:space="preserve">sub-zone — delegated to Cloud Infrastructure team (Azure)</w:t>
      </w:r>
    </w:p>
    <w:p>
      <w:pPr>
        <w:pStyle w:val="Compact"/>
        <w:numPr>
          <w:ilvl w:val="0"/>
          <w:numId w:val="1004"/>
        </w:numPr>
      </w:pPr>
      <w:r>
        <w:rPr>
          <w:rStyle w:val="VerbatimChar"/>
        </w:rPr>
        <w:t xml:space="preserve">oci.ssa.gov</w:t>
      </w:r>
      <w:r>
        <w:t xml:space="preserve"> </w:t>
      </w:r>
      <w:r>
        <w:t xml:space="preserve">sub-zone — delegated to Cloud Infrastructure team (OCI)</w:t>
      </w:r>
    </w:p>
    <w:p>
      <w:pPr>
        <w:pStyle w:val="Compact"/>
        <w:numPr>
          <w:ilvl w:val="0"/>
          <w:numId w:val="1004"/>
        </w:numPr>
      </w:pPr>
      <w:r>
        <w:rPr>
          <w:rStyle w:val="VerbatimChar"/>
        </w:rPr>
        <w:t xml:space="preserve">onprem.ssa.gov</w:t>
      </w:r>
      <w:r>
        <w:t xml:space="preserve"> </w:t>
      </w:r>
      <w:r>
        <w:t xml:space="preserve">sub-zone — delegated to on-premises Network Infrastructure team</w:t>
      </w:r>
    </w:p>
    <w:p>
      <w:pPr>
        <w:pStyle w:val="Compact"/>
        <w:numPr>
          <w:ilvl w:val="0"/>
          <w:numId w:val="1004"/>
        </w:numPr>
      </w:pPr>
      <w:r>
        <w:rPr>
          <w:rStyle w:val="VerbatimChar"/>
        </w:rPr>
        <w:t xml:space="preserve">apps.ssa.gov</w:t>
      </w:r>
      <w:r>
        <w:t xml:space="preserve"> </w:t>
      </w:r>
      <w:r>
        <w:t xml:space="preserve">sub-zone — delegated to Application Development / DevOps</w:t>
      </w:r>
    </w:p>
    <w:p>
      <w:pPr>
        <w:pStyle w:val="FirstParagraph"/>
      </w:pPr>
      <w:r>
        <w:t xml:space="preserve">Each delegated zone owner can create, modify, and delete records within their zone without touching any other component’s DNS namespace. The Grid Master enforces zone-level access control; cross-zone queries still resolve via Grid Member forwarding, but record modification rights are strictly scoped.</w:t>
      </w:r>
    </w:p>
    <w:bookmarkEnd w:id="53"/>
    <w:bookmarkStart w:id="66" w:name="sec-microsoft"/>
    <w:p>
      <w:pPr>
        <w:pStyle w:val="Heading3"/>
      </w:pPr>
      <w:r>
        <w:t xml:space="preserve">3.4 Microsoft Partnership: M365 GCC Endpoint Lifecycle</w:t>
      </w:r>
    </w:p>
    <w:p>
      <w:pPr>
        <w:pStyle w:val="CaptionedFigure"/>
      </w:pPr>
      <w:r>
        <w:drawing>
          <wp:inline>
            <wp:extent cx="5334000" cy="3022600"/>
            <wp:effectExtent b="0" l="0" r="0" t="0"/>
            <wp:docPr descr="Microsoft × InfoBlox Technology Partnership — Six Integration Points" title="" id="55" name="Picture"/>
            <a:graphic>
              <a:graphicData uri="http://schemas.openxmlformats.org/drawingml/2006/picture">
                <pic:pic>
                  <pic:nvPicPr>
                    <pic:cNvPr descr="figs/lz-fig-03-ms-partnership.png" id="56" name="Picture"/>
                    <pic:cNvPicPr>
                      <a:picLocks noChangeArrowheads="1" noChangeAspect="1"/>
                    </pic:cNvPicPr>
                  </pic:nvPicPr>
                  <pic:blipFill>
                    <a:blip r:embed="rId54"/>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
          <w:bCs/>
        </w:rPr>
        <w:t xml:space="preserve">Azure Technology Alliance Partnership</w:t>
      </w:r>
      <w:r>
        <w:t xml:space="preserve"> </w:t>
      </w:r>
      <w:r>
        <w:t xml:space="preserve">with six distinct integration points:</w:t>
      </w:r>
    </w:p>
    <w:p>
      <w:pPr>
        <w:pStyle w:val="TableCaption"/>
      </w:pPr>
      <w:r>
        <w:t xml:space="preserve">Microsoft-InfoBlox Integration Points</w:t>
      </w:r>
    </w:p>
    <w:tbl>
      <w:tblPr>
        <w:tblStyle w:val="Table"/>
        <w:tblW w:type="pct" w:w="5000"/>
        <w:tblLayout w:type="fixed"/>
        <w:tblLook w:firstRow="1" w:lastRow="0" w:firstColumn="0" w:lastColumn="0" w:noHBand="0" w:noVBand="0" w:val="0020"/>
        <w:tblCaption w:val="Microsoft-InfoBlox Integration Points"/>
      </w:tblPr>
      <w:tblGrid>
        <w:gridCol w:w="3960"/>
        <w:gridCol w:w="3960"/>
      </w:tblGrid>
      <w:tr>
        <w:trPr>
          <w:tblHeader w:val="on"/>
        </w:trPr>
        <w:tc>
          <w:tcPr/>
          <w:p>
            <w:pPr>
              <w:pStyle w:val="Compact"/>
            </w:pPr>
            <w:r>
              <w:t xml:space="preserve">Integration</w:t>
            </w:r>
          </w:p>
        </w:tc>
        <w:tc>
          <w:tcPr/>
          <w:p>
            <w:pPr>
              <w:pStyle w:val="Compact"/>
            </w:pPr>
            <w:r>
              <w:t xml:space="preserve">What It Does</w:t>
            </w:r>
          </w:p>
        </w:tc>
      </w:tr>
      <w:tr>
        <w:tc>
          <w:tcPr/>
          <w:p>
            <w:pPr>
              <w:pStyle w:val="Compact"/>
            </w:pPr>
            <w:r>
              <w:rPr>
                <w:b/>
                <w:bCs/>
              </w:rPr>
              <w:t xml:space="preserve">Microsoft Sentinel Native Connector</w:t>
            </w:r>
          </w:p>
        </w:tc>
        <w:tc>
          <w:tcPr/>
          <w:p>
            <w:pPr>
              <w:pStyle w:val="Compact"/>
            </w:pPr>
            <w:r>
              <w:t xml:space="preserve">First-party Sentinel content pack — DNS Security Events, DHCP events, RPZ blocks stream to Sentinel without custom parsing</w:t>
            </w:r>
          </w:p>
        </w:tc>
      </w:tr>
      <w:tr>
        <w:tc>
          <w:tcPr/>
          <w:p>
            <w:pPr>
              <w:pStyle w:val="Compact"/>
            </w:pPr>
            <w:r>
              <w:rPr>
                <w:b/>
                <w:bCs/>
              </w:rPr>
              <w:t xml:space="preserve">Defender Threat Intelligence (MDTI)</w:t>
            </w:r>
          </w:p>
        </w:tc>
        <w:tc>
          <w:tcPr/>
          <w:p>
            <w:pPr>
              <w:pStyle w:val="Compact"/>
            </w:pPr>
            <w:r>
              <w:t xml:space="preserve">Bidirectional IOC sharing between InfoBlox TIDE and MDTI — a domain blocked by MDTI is also blocked by InfoBlox RPZ</w:t>
            </w:r>
          </w:p>
        </w:tc>
      </w:tr>
      <w:tr>
        <w:tc>
          <w:tcPr/>
          <w:p>
            <w:pPr>
              <w:pStyle w:val="Compact"/>
            </w:pPr>
            <w:r>
              <w:rPr>
                <w:b/>
                <w:bCs/>
              </w:rPr>
              <w:t xml:space="preserve">Entra ID / Azure AD SSO</w:t>
            </w:r>
          </w:p>
        </w:tc>
        <w:tc>
          <w:tcPr/>
          <w:p>
            <w:pPr>
              <w:pStyle w:val="Compact"/>
            </w:pPr>
            <w:r>
              <w:t xml:space="preserve">InfoBlox Grid Manager and BloxOne portal support Entra ID SAML/OIDC — Grid admin auth governed by SSA Conditional Access policies</w:t>
            </w:r>
          </w:p>
        </w:tc>
      </w:tr>
      <w:tr>
        <w:tc>
          <w:tcPr/>
          <w:p>
            <w:pPr>
              <w:pStyle w:val="Compact"/>
            </w:pPr>
            <w:r>
              <w:rPr>
                <w:b/>
                <w:bCs/>
              </w:rPr>
              <w:t xml:space="preserve">Azure Government Marketplace</w:t>
            </w:r>
          </w:p>
        </w:tc>
        <w:tc>
          <w:tcPr/>
          <w:p>
            <w:pPr>
              <w:pStyle w:val="Compact"/>
            </w:pPr>
            <w:r>
              <w:t xml:space="preserve">BloxOne DDI Federal is procurable via existing Azure EA/ELA agreements — no separate IDIQ</w:t>
            </w:r>
          </w:p>
        </w:tc>
      </w:tr>
      <w:tr>
        <w:tc>
          <w:tcPr/>
          <w:p>
            <w:pPr>
              <w:pStyle w:val="Compact"/>
            </w:pPr>
            <w:r>
              <w:rPr>
                <w:b/>
                <w:bCs/>
              </w:rPr>
              <w:t xml:space="preserve">AD-Integrated DNS Migration</w:t>
            </w:r>
          </w:p>
        </w:tc>
        <w:tc>
          <w:tcPr/>
          <w:p>
            <w:pPr>
              <w:pStyle w:val="Compact"/>
            </w:pPr>
            <w:r>
              <w:t xml:space="preserve">Documented migration tooling from Windows DNS zones to InfoBlox Grid — AD still replicates, InfoBlox serves authoritative records</w:t>
            </w:r>
          </w:p>
        </w:tc>
      </w:tr>
      <w:tr>
        <w:tc>
          <w:tcPr/>
          <w:p>
            <w:pPr>
              <w:pStyle w:val="Compact"/>
            </w:pPr>
            <w:r>
              <w:rPr>
                <w:b/>
                <w:bCs/>
              </w:rPr>
              <w:t xml:space="preserve">M365 GCC Endpoint Lifecycle</w:t>
            </w:r>
          </w:p>
        </w:tc>
        <w:tc>
          <w:tcPr/>
          <w:p>
            <w:pPr>
              <w:pStyle w:val="Compact"/>
            </w:pPr>
            <w:r>
              <w:t xml:space="preserve">InfoBlox polls Microsoft 365 IP &amp; URL Web Service API and auto-updates all enforcement layers</w:t>
            </w:r>
          </w:p>
        </w:tc>
      </w:tr>
    </w:tbl>
    <w:bookmarkStart w:id="65" w:name="m365-gcc-boundary-enforcement"/>
    <w:p>
      <w:pPr>
        <w:pStyle w:val="Heading4"/>
      </w:pPr>
      <w:r>
        <w:t xml:space="preserve">3.4.1 M365 GCC Boundary Enforcement</w:t>
      </w:r>
    </w:p>
    <w:p>
      <w:pPr>
        <w:pStyle w:val="CaptionedFigure"/>
      </w:pPr>
      <w:r>
        <w:drawing>
          <wp:inline>
            <wp:extent cx="5334000" cy="2963333"/>
            <wp:effectExtent b="0" l="0" r="0" t="0"/>
            <wp:docPr descr="M365 GCC Boundary Gap: Manual vs. Automated Enforcement" title="" id="58" name="Picture"/>
            <a:graphic>
              <a:graphicData uri="http://schemas.openxmlformats.org/drawingml/2006/picture">
                <pic:pic>
                  <pic:nvPicPr>
                    <pic:cNvPr descr="figs/lz-fig-13-boundary-gap.png" id="59" name="Picture"/>
                    <pic:cNvPicPr>
                      <a:picLocks noChangeArrowheads="1" noChangeAspect="1"/>
                    </pic:cNvPicPr>
                  </pic:nvPicPr>
                  <pic:blipFill>
                    <a:blip r:embed="rId5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61" name="Picture"/>
            <a:graphic>
              <a:graphicData uri="http://schemas.openxmlformats.org/drawingml/2006/picture">
                <pic:pic>
                  <pic:nvPicPr>
                    <pic:cNvPr descr="figs/lz-fig-04-m365-pipeline.png" id="62" name="Picture"/>
                    <pic:cNvPicPr>
                      <a:picLocks noChangeArrowheads="1" noChangeAspect="1"/>
                    </pic:cNvPicPr>
                  </pic:nvPicPr>
                  <pic:blipFill>
                    <a:blip r:embed="rId60"/>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
          <w:bCs/>
        </w:rPr>
        <w:t xml:space="preserve">FedRAMP boundary violation</w:t>
      </w:r>
      <w:r>
        <w:t xml:space="preserve">.</w:t>
      </w:r>
    </w:p>
    <w:p>
      <w:pPr>
        <w:pStyle w:val="BodyText"/>
      </w:pPr>
      <w:r>
        <w:t xml:space="preserve">InfoBlox provides the automated enforcement pipeline:</w:t>
      </w:r>
    </w:p>
    <w:p>
      <w:pPr>
        <w:pStyle w:val="Compact"/>
        <w:numPr>
          <w:ilvl w:val="0"/>
          <w:numId w:val="1005"/>
        </w:numPr>
      </w:pPr>
      <w:r>
        <w:rPr>
          <w:b/>
          <w:bCs/>
        </w:rPr>
        <w:t xml:space="preserve">Daily poll</w:t>
      </w:r>
      <w:r>
        <w:t xml:space="preserve"> </w:t>
      </w:r>
      <w:r>
        <w:t xml:space="preserve">of the Microsoft M365 GCC endpoint API (version-change detection)</w:t>
      </w:r>
    </w:p>
    <w:p>
      <w:pPr>
        <w:pStyle w:val="Compact"/>
        <w:numPr>
          <w:ilvl w:val="0"/>
          <w:numId w:val="1005"/>
        </w:numPr>
      </w:pPr>
      <w:r>
        <w:rPr>
          <w:b/>
          <w:bCs/>
        </w:rPr>
        <w:t xml:space="preserve">RPZ passthrough allow-list</w:t>
      </w:r>
      <w:r>
        <w:t xml:space="preserve"> </w:t>
      </w:r>
      <w:r>
        <w:t xml:space="preserve">— GCC FQDNs explicitly allowed through threat blocking</w:t>
      </w:r>
    </w:p>
    <w:p>
      <w:pPr>
        <w:pStyle w:val="Compact"/>
        <w:numPr>
          <w:ilvl w:val="0"/>
          <w:numId w:val="1005"/>
        </w:numPr>
      </w:pPr>
      <w:r>
        <w:rPr>
          <w:b/>
          <w:bCs/>
        </w:rPr>
        <w:t xml:space="preserve">RPZ block list</w:t>
      </w:r>
      <w:r>
        <w:t xml:space="preserve"> </w:t>
      </w:r>
      <w:r>
        <w:t xml:space="preserve">— commercial M365 FQDNs (non-GCC) blocked at DNS layer</w:t>
      </w:r>
    </w:p>
    <w:p>
      <w:pPr>
        <w:pStyle w:val="Compact"/>
        <w:numPr>
          <w:ilvl w:val="0"/>
          <w:numId w:val="1005"/>
        </w:numPr>
      </w:pPr>
      <w:r>
        <w:rPr>
          <w:b/>
          <w:bCs/>
        </w:rPr>
        <w:t xml:space="preserve">Azure NSG IP Group</w:t>
      </w:r>
      <w:r>
        <w:t xml:space="preserve"> </w:t>
      </w:r>
      <w:r>
        <w:t xml:space="preserve">update — GCC Optimize IP ranges pushed to Azure Government</w:t>
      </w:r>
    </w:p>
    <w:p>
      <w:pPr>
        <w:pStyle w:val="Compact"/>
        <w:numPr>
          <w:ilvl w:val="0"/>
          <w:numId w:val="1005"/>
        </w:numPr>
      </w:pPr>
      <w:r>
        <w:rPr>
          <w:b/>
          <w:bCs/>
        </w:rPr>
        <w:t xml:space="preserve">AWS GovCloud Security Group</w:t>
      </w:r>
      <w:r>
        <w:t xml:space="preserve"> </w:t>
      </w:r>
      <w:r>
        <w:t xml:space="preserve">update — GCC IP ranges for outbound rules</w:t>
      </w:r>
    </w:p>
    <w:p>
      <w:pPr>
        <w:pStyle w:val="Compact"/>
        <w:numPr>
          <w:ilvl w:val="0"/>
          <w:numId w:val="1005"/>
        </w:numPr>
      </w:pPr>
      <w:r>
        <w:rPr>
          <w:b/>
          <w:bCs/>
        </w:rPr>
        <w:t xml:space="preserve">VPN split-tunnel DNS</w:t>
      </w:r>
      <w:r>
        <w:t xml:space="preserve"> </w:t>
      </w:r>
      <w:r>
        <w:t xml:space="preserve">— M365 Optimize FQDNs route via local interface, not VPN tunnel</w:t>
      </w:r>
    </w:p>
    <w:p>
      <w:pPr>
        <w:pStyle w:val="Compact"/>
        <w:numPr>
          <w:ilvl w:val="0"/>
          <w:numId w:val="1005"/>
        </w:numPr>
      </w:pPr>
      <w:r>
        <w:rPr>
          <w:b/>
          <w:bCs/>
        </w:rPr>
        <w:t xml:space="preserve">Sentinel alert</w:t>
      </w:r>
      <w:r>
        <w:t xml:space="preserve"> </w:t>
      </w:r>
      <w:r>
        <w:t xml:space="preserve">— any DNS query from an in-boundary workload to a commercial M365 endpoint triggers an IR ticket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warning.png" id="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p/>
        </w:tc>
      </w:tr>
    </w:tbl>
    <w:bookmarkEnd w:id="65"/>
    <w:bookmarkEnd w:id="66"/>
    <w:bookmarkStart w:id="75" w:name="sec-aws"/>
    <w:p>
      <w:pPr>
        <w:pStyle w:val="Heading3"/>
      </w:pPr>
      <w:r>
        <w:t xml:space="preserve">3.5 AWS Partnership: BloxOne Runs ON AWS GovCloud</w:t>
      </w:r>
    </w:p>
    <w:p>
      <w:pPr>
        <w:pStyle w:val="CaptionedFigure"/>
      </w:pPr>
      <w:r>
        <w:drawing>
          <wp:inline>
            <wp:extent cx="5334000" cy="2844800"/>
            <wp:effectExtent b="0" l="0" r="0" t="0"/>
            <wp:docPr descr="AWS GovCloud × InfoBlox — BloxOne DDI Federal Hosted on AWS, LZA DNS Alignment" title="" id="68" name="Picture"/>
            <a:graphic>
              <a:graphicData uri="http://schemas.openxmlformats.org/drawingml/2006/picture">
                <pic:pic>
                  <pic:nvPicPr>
                    <pic:cNvPr descr="figs/lz-fig-07-aws-lza.png" id="69" name="Picture"/>
                    <pic:cNvPicPr>
                      <a:picLocks noChangeArrowheads="1" noChangeAspect="1"/>
                    </pic:cNvPicPr>
                  </pic:nvPicPr>
                  <pic:blipFill>
                    <a:blip r:embed="rId6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BloxOne DDI Federal Hosted on AWS, LZA DNS Alignment</w:t>
      </w:r>
    </w:p>
    <w:p>
      <w:pPr>
        <w:pStyle w:val="BodyText"/>
      </w:pPr>
      <w:r>
        <w:t xml:space="preserve">The AWS relationship is the deepest of all three cloud vendors:</w:t>
      </w:r>
      <w:r>
        <w:t xml:space="preserve"> </w:t>
      </w:r>
      <w:r>
        <w:rPr>
          <w:b/>
          <w:bCs/>
        </w:rPr>
        <w:t xml:space="preserve">InfoBlox’s own FedRAMP-authorized cloud service (BloxOne DDI Federal, CSO FR2017257053) is hosted on AWS GovCloud.</w:t>
      </w:r>
      <w:r>
        <w:t xml:space="preserve"> </w:t>
      </w:r>
      <w:r>
        <w:t xml:space="preserve">This makes AWS the infrastructure foundation for InfoBlox’s SaaS control plane.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Key Point:</w:t>
            </w:r>
            <w:r>
              <w:t xml:space="preserve"> </w:t>
            </w:r>
            <w:r>
              <w:t xml:space="preserve">When SSA uses BloxOne DDI Federal, the control plane is hosted on AWS GovCloud infrastructure with its own FedRAMP High authorization. SSA inherits both the InfoBlox DDI CSO (FR2017257053) and the AWS GovCloud infrastructure authorization — layered FedRAMP coverage.</w:t>
            </w:r>
          </w:p>
          <w:p/>
        </w:tc>
      </w:tr>
    </w:tbl>
    <w:p>
      <w:pPr>
        <w:pStyle w:val="BodyText"/>
      </w:pPr>
      <w:r>
        <w:t xml:space="preserve">AWS-specific InfoBlox capabilities:</w:t>
      </w:r>
    </w:p>
    <w:p>
      <w:pPr>
        <w:pStyle w:val="Compact"/>
        <w:numPr>
          <w:ilvl w:val="0"/>
          <w:numId w:val="1006"/>
        </w:numPr>
      </w:pPr>
      <w:r>
        <w:rPr>
          <w:b/>
          <w:bCs/>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pStyle w:val="Compact"/>
        <w:numPr>
          <w:ilvl w:val="0"/>
          <w:numId w:val="1006"/>
        </w:numPr>
      </w:pPr>
      <w:r>
        <w:rPr>
          <w:b/>
          <w:bCs/>
        </w:rPr>
        <w:t xml:space="preserve">AWS Security Hub:</w:t>
      </w:r>
      <w:r>
        <w:t xml:space="preserve"> </w:t>
      </w:r>
      <w:r>
        <w:t xml:space="preserve">InfoBlox RPZ block events flow natively to Security Hub findings and correlate with GuardDuty detections.</w:t>
      </w:r>
    </w:p>
    <w:p>
      <w:pPr>
        <w:pStyle w:val="Compact"/>
        <w:numPr>
          <w:ilvl w:val="0"/>
          <w:numId w:val="1006"/>
        </w:numPr>
      </w:pPr>
      <w:r>
        <w:rPr>
          <w:b/>
          <w:bCs/>
        </w:rPr>
        <w:t xml:space="preserve">ACM Private CA Integration:</w:t>
      </w:r>
      <w:r>
        <w:t xml:space="preserve"> </w:t>
      </w:r>
      <w:r>
        <w:t xml:space="preserve">InfoBlox auto-creates DNS validation CNAME records for ACM certificate issuance; ACM PCA certificate expiry is tracked in InfoBlox Certificate Tracker.</w:t>
      </w:r>
    </w:p>
    <w:p>
      <w:pPr>
        <w:pStyle w:val="Compact"/>
        <w:numPr>
          <w:ilvl w:val="0"/>
          <w:numId w:val="1006"/>
        </w:numPr>
      </w:pPr>
      <w:r>
        <w:rPr>
          <w:b/>
          <w:bCs/>
        </w:rPr>
        <w:t xml:space="preserve">AWS IPAM Sync:</w:t>
      </w:r>
      <w:r>
        <w:t xml:space="preserve"> </w:t>
      </w:r>
      <w:r>
        <w:t xml:space="preserve">AWS IPAM pool allocations are imported into InfoBlox’s AWS-GovCloud Network View — cross-cloud CIDR conflict detection includes native AWS IPAM-managed ranges.</w:t>
      </w:r>
    </w:p>
    <w:p>
      <w:pPr>
        <w:pStyle w:val="Compact"/>
        <w:numPr>
          <w:ilvl w:val="0"/>
          <w:numId w:val="1006"/>
        </w:numPr>
      </w:pPr>
      <w:r>
        <w:rPr>
          <w:b/>
          <w:bCs/>
        </w:rPr>
        <w:t xml:space="preserve">AWS GovCloud Marketplace Procurement:</w:t>
      </w:r>
      <w:r>
        <w:t xml:space="preserve"> </w:t>
      </w:r>
      <w:r>
        <w:t xml:space="preserve">BloxOne DDI Federal is procurable via the GovCloud Marketplace against existing EA agreements — no separate IDIQ or procurement action required.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Route 53 Private Zone DNSSEC Gap:</w:t>
            </w:r>
            <w:r>
              <w:t xml:space="preserve"> </w:t>
            </w:r>
            <w:r>
              <w:t xml:space="preserve">AWS Route 53 private hosted zones</w:t>
            </w:r>
            <w:r>
              <w:t xml:space="preserve"> </w:t>
            </w:r>
            <w:r>
              <w:rPr>
                <w:i/>
                <w:iCs/>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p/>
        </w:tc>
      </w:tr>
    </w:tbl>
    <w:bookmarkEnd w:id="75"/>
    <w:bookmarkStart w:id="81" w:name="sec-oracle"/>
    <w:p>
      <w:pPr>
        <w:pStyle w:val="Heading3"/>
      </w:pPr>
      <w:r>
        <w:t xml:space="preserve">3.6 Oracle Cloud / OCI: OPM HRIT Future Integration</w:t>
      </w:r>
    </w:p>
    <w:p>
      <w:pPr>
        <w:pStyle w:val="CaptionedFigure"/>
      </w:pPr>
      <w:r>
        <w:drawing>
          <wp:inline>
            <wp:extent cx="5334000" cy="2933700"/>
            <wp:effectExtent b="0" l="0" r="0" t="0"/>
            <wp:docPr descr="OPM HRIT on Oracle OCI — SSA Inter-Agency Integration via InfoBlox Certificate Monitor" title="" id="77" name="Picture"/>
            <a:graphic>
              <a:graphicData uri="http://schemas.openxmlformats.org/drawingml/2006/picture">
                <pic:pic>
                  <pic:nvPicPr>
                    <pic:cNvPr descr="figs/lz-fig-06-opm-hrit.png" id="78" name="Picture"/>
                    <pic:cNvPicPr>
                      <a:picLocks noChangeArrowheads="1" noChangeAspect="1"/>
                    </pic:cNvPicPr>
                  </pic:nvPicPr>
                  <pic:blipFill>
                    <a:blip r:embed="rId76"/>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HRIT (federal HR and benefits processing) to Oracle HCM Cloud on OCI. As OPM’s HRIT moves to OCI-hosted SaaS, SSA’s integration path changes from a mainframe handoff to a cloud API call from SSA’s environment to OPM’s OCI-hosted service endpoints.</w:t>
      </w:r>
    </w:p>
    <w:p>
      <w:pPr>
        <w:pStyle w:val="BodyText"/>
      </w:pPr>
      <w:r>
        <w:rPr>
          <w:b/>
          <w:bCs/>
        </w:rPr>
        <w:t xml:space="preserve">The challenge:</w:t>
      </w:r>
      <w:r>
        <w:t xml:space="preserve"> </w:t>
      </w:r>
      <w:r>
        <w:t xml:space="preserve">OPM controls their OCI tenancy. SSA has no visibility into OPM’s certificate rotation schedule, IP range changes, or maintenance windows. When OPM rotates their HRIT API TLS certificate without SSA’s trust stores being updated, the HRIT API call fails — personnel action feeds stop, benefits enrollment breaks.</w:t>
      </w:r>
    </w:p>
    <w:p>
      <w:pPr>
        <w:pStyle w:val="BodyText"/>
      </w:pPr>
      <w:r>
        <w:rPr>
          <w:b/>
          <w:bCs/>
        </w:rPr>
        <w:t xml:space="preserve">InfoBlox manages SSA’s side of the integration:</w:t>
      </w:r>
    </w:p>
    <w:p>
      <w:pPr>
        <w:pStyle w:val="TableCaption"/>
      </w:pPr>
      <w:r>
        <w:t xml:space="preserve">OPM HRIT Integration via InfoBlox</w:t>
      </w:r>
    </w:p>
    <w:tbl>
      <w:tblPr>
        <w:tblStyle w:val="Table"/>
        <w:tblW w:type="pct" w:w="5000"/>
        <w:tblLayout w:type="fixed"/>
        <w:tblLook w:firstRow="1" w:lastRow="0" w:firstColumn="0" w:lastColumn="0" w:noHBand="0" w:noVBand="0" w:val="0020"/>
        <w:tblCaption w:val="OPM HRIT Integration via InfoBlox"/>
      </w:tblPr>
      <w:tblGrid>
        <w:gridCol w:w="3960"/>
        <w:gridCol w:w="3960"/>
      </w:tblGrid>
      <w:tr>
        <w:trPr>
          <w:tblHeader w:val="on"/>
        </w:trPr>
        <w:tc>
          <w:tcPr/>
          <w:p>
            <w:pPr>
              <w:pStyle w:val="Compact"/>
            </w:pPr>
            <w:r>
              <w:t xml:space="preserve">Integration Layer</w:t>
            </w:r>
          </w:p>
        </w:tc>
        <w:tc>
          <w:tcPr/>
          <w:p>
            <w:pPr>
              <w:pStyle w:val="Compact"/>
            </w:pPr>
            <w:r>
              <w:t xml:space="preserve">InfoBlox Capability</w:t>
            </w:r>
          </w:p>
        </w:tc>
      </w:tr>
      <w:tr>
        <w:tc>
          <w:tcPr/>
          <w:p>
            <w:pPr>
              <w:pStyle w:val="Compact"/>
            </w:pPr>
            <w:r>
              <w:t xml:space="preserve">DNS resolution</w:t>
            </w:r>
          </w:p>
        </w:tc>
        <w:tc>
          <w:tcPr/>
          <w:p>
            <w:pPr>
              <w:pStyle w:val="Compac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pPr>
            <w:r>
              <w:t xml:space="preserve">IP documentation</w:t>
            </w:r>
          </w:p>
        </w:tc>
        <w:tc>
          <w:tcPr/>
          <w:p>
            <w:pPr>
              <w:pStyle w:val="Compact"/>
            </w:pPr>
            <w:r>
              <w:t xml:space="preserve">OPM HRIT OCI IPs imported as external host records (read-only OCI Network View); SA-9 table auto-generated</w:t>
            </w:r>
          </w:p>
        </w:tc>
      </w:tr>
      <w:tr>
        <w:tc>
          <w:tcPr/>
          <w:p>
            <w:pPr>
              <w:pStyle w:val="Compact"/>
            </w:pPr>
            <w:r>
              <w:t xml:space="preserve">Certificate monitoring</w:t>
            </w:r>
          </w:p>
        </w:tc>
        <w:tc>
          <w:tcPr/>
          <w:p>
            <w:pPr>
              <w:pStyle w:val="Compact"/>
            </w:pPr>
            <w:r>
              <w:t xml:space="preserve">InfoBlox Certificate Tracker polls OPM HRIT HTTPS endpoints; captures TLS cert thumbprint + expiry</w:t>
            </w:r>
          </w:p>
        </w:tc>
      </w:tr>
      <w:tr>
        <w:tc>
          <w:tcPr/>
          <w:p>
            <w:pPr>
              <w:pStyle w:val="Compact"/>
            </w:pPr>
            <w:r>
              <w:t xml:space="preserve">Expiry alerting</w:t>
            </w:r>
          </w:p>
        </w:tc>
        <w:tc>
          <w:tcPr/>
          <w:p>
            <w:pPr>
              <w:pStyle w:val="Compact"/>
            </w:pPr>
            <w:r>
              <w:t xml:space="preserve">90/30/7-day alerts give SSA advance notice of OPM cert rotation</w:t>
            </w:r>
          </w:p>
        </w:tc>
      </w:tr>
      <w:tr>
        <w:tc>
          <w:tcPr/>
          <w:p>
            <w:pPr>
              <w:pStyle w:val="Compact"/>
            </w:pPr>
            <w:r>
              <w:t xml:space="preserve">Trust store prep</w:t>
            </w:r>
          </w:p>
        </w:tc>
        <w:tc>
          <w:tcPr/>
          <w:p>
            <w:pPr>
              <w:pStyle w:val="Compact"/>
            </w:pPr>
            <w:r>
              <w:t xml:space="preserve">New OPM cert thumbprint pre-staged in InfoBlox before rotation day — zero-downtime update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tc>
      </w:tr>
    </w:tbl>
    <w:p>
      <w:r>
        <w:pict>
          <v:rect style="width:0;height:1.5pt" o:hralign="center" o:hrstd="t" o:hr="t"/>
        </w:pict>
      </w:r>
    </w:p>
    <w:bookmarkEnd w:id="81"/>
    <w:bookmarkEnd w:id="82"/>
    <w:bookmarkStart w:id="94" w:name="sec-certs"/>
    <w:p>
      <w:pPr>
        <w:pStyle w:val="Heading2"/>
      </w:pPr>
      <w:r>
        <w:t xml:space="preserve">4 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83">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85" name="Picture"/>
            <a:graphic>
              <a:graphicData uri="http://schemas.openxmlformats.org/drawingml/2006/picture">
                <pic:pic>
                  <pic:nvPicPr>
                    <pic:cNvPr descr="figs/lz-fig-09-cert-lifecycle.png" id="86" name="Picture"/>
                    <pic:cNvPicPr>
                      <a:picLocks noChangeArrowheads="1" noChangeAspect="1"/>
                    </pic:cNvPicPr>
                  </pic:nvPicPr>
                  <pic:blipFill>
                    <a:blip r:embed="rId8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87" w:name="sec-cert-lifecycle"/>
    <w:p>
      <w:pPr>
        <w:pStyle w:val="Heading3"/>
      </w:pPr>
      <w:r>
        <w:t xml:space="preserve">4.1 The Certificate Lifecycle in a Multi-Cloud SDN Environment</w:t>
      </w:r>
    </w:p>
    <w:p>
      <w:pPr>
        <w:pStyle w:val="FirstParagraph"/>
      </w:pPr>
      <w:r>
        <w:t xml:space="preserve">The complete certificate lifecycle for a cloud workload follows this sequence:</w:t>
      </w:r>
    </w:p>
    <w:p>
      <w:pPr>
        <w:pStyle w:val="Compact"/>
        <w:numPr>
          <w:ilvl w:val="0"/>
          <w:numId w:val="1007"/>
        </w:numPr>
      </w:pPr>
      <w:r>
        <w:t xml:space="preserve">VM or container provisioned by VCF Automation, Terraform, or cloud-native IaC</w:t>
      </w:r>
    </w:p>
    <w:p>
      <w:pPr>
        <w:pStyle w:val="Compact"/>
        <w:numPr>
          <w:ilvl w:val="0"/>
          <w:numId w:val="1007"/>
        </w:numPr>
      </w:pPr>
      <w:r>
        <w:t xml:space="preserve">InfoBlox IPAM allocates an IP from the correct Network View (cross-cloud conflict-checked)</w:t>
      </w:r>
    </w:p>
    <w:p>
      <w:pPr>
        <w:pStyle w:val="Compact"/>
        <w:numPr>
          <w:ilvl w:val="0"/>
          <w:numId w:val="1007"/>
        </w:numPr>
      </w:pPr>
      <w:r>
        <w:t xml:space="preserve">InfoBlox Grid automatically creates a DNS A record:</w:t>
      </w:r>
      <w:r>
        <w:t xml:space="preserve"> </w:t>
      </w:r>
      <w:r>
        <w:rPr>
          <w:rStyle w:val="VerbatimChar"/>
        </w:rPr>
        <w:t xml:space="preserve">workload-name.environment.agency.gov → IP</w:t>
      </w:r>
    </w:p>
    <w:p>
      <w:pPr>
        <w:pStyle w:val="Compact"/>
        <w:numPr>
          <w:ilvl w:val="0"/>
          <w:numId w:val="1007"/>
        </w:numPr>
      </w:pPr>
      <w:r>
        <w:t xml:space="preserve">Workload bootstrap sends SCEP or EST enrollment to the agency CA using the DNS name as the certificate SAN</w:t>
      </w:r>
    </w:p>
    <w:p>
      <w:pPr>
        <w:pStyle w:val="Compact"/>
        <w:numPr>
          <w:ilvl w:val="0"/>
          <w:numId w:val="1007"/>
        </w:numPr>
      </w:pPr>
      <w:r>
        <w:t xml:space="preserve">CA (ADCS, Azure Key Vault with SCEP, AWS ACM Private CA) issues a certificate binding the SAN to the workload</w:t>
      </w:r>
    </w:p>
    <w:p>
      <w:pPr>
        <w:pStyle w:val="Compact"/>
        <w:numPr>
          <w:ilvl w:val="0"/>
          <w:numId w:val="1007"/>
        </w:numPr>
      </w:pPr>
      <w:r>
        <w:t xml:space="preserve">InfoBlox Certificate Tracker receives the certificate thumbprint, expiry, and issuing CA, binding it to the IP host record</w:t>
      </w:r>
    </w:p>
    <w:p>
      <w:pPr>
        <w:pStyle w:val="Compact"/>
        <w:numPr>
          <w:ilvl w:val="0"/>
          <w:numId w:val="1007"/>
        </w:numPr>
      </w:pPr>
      <w:r>
        <w:t xml:space="preserve">mTLS is active: the workload presents the certificate to authenticate to other services</w:t>
      </w:r>
    </w:p>
    <w:p>
      <w:pPr>
        <w:pStyle w:val="Compact"/>
        <w:numPr>
          <w:ilvl w:val="0"/>
          <w:numId w:val="1007"/>
        </w:numPr>
      </w:pPr>
      <w:r>
        <w:t xml:space="preserve">90/30/7 days before expiry, InfoBlox Certificate Tracker generates alerts for timely renewal</w:t>
      </w:r>
    </w:p>
    <w:bookmarkEnd w:id="87"/>
    <w:bookmarkStart w:id="93" w:name="sec-cert-platforms"/>
    <w:p>
      <w:pPr>
        <w:pStyle w:val="Heading3"/>
      </w:pPr>
      <w:r>
        <w:t xml:space="preserve">4.2 Integration with Each Cloud Certificate Manager</w:t>
      </w:r>
    </w:p>
    <w:p>
      <w:pPr>
        <w:pStyle w:val="TableCaption"/>
      </w:pPr>
      <w:r>
        <w:t xml:space="preserve">Certificate Manager Integrations</w:t>
      </w:r>
    </w:p>
    <w:tbl>
      <w:tblPr>
        <w:tblStyle w:val="Table"/>
        <w:tblW w:type="pct" w:w="5000"/>
        <w:tblLayout w:type="fixed"/>
        <w:tblLook w:firstRow="1" w:lastRow="0" w:firstColumn="0" w:lastColumn="0" w:noHBand="0" w:noVBand="0" w:val="0020"/>
        <w:tblCaption w:val="Certificate Manager Integrations"/>
      </w:tblPr>
      <w:tblGrid>
        <w:gridCol w:w="2640"/>
        <w:gridCol w:w="2640"/>
        <w:gridCol w:w="2640"/>
      </w:tblGrid>
      <w:tr>
        <w:trPr>
          <w:tblHeader w:val="on"/>
        </w:trPr>
        <w:tc>
          <w:tcPr/>
          <w:p>
            <w:pPr>
              <w:pStyle w:val="Compact"/>
            </w:pPr>
            <w:r>
              <w:t xml:space="preserve">Platform</w:t>
            </w:r>
          </w:p>
        </w:tc>
        <w:tc>
          <w:tcPr/>
          <w:p>
            <w:pPr>
              <w:pStyle w:val="Compact"/>
            </w:pPr>
            <w:r>
              <w:t xml:space="preserve">Integration Method</w:t>
            </w:r>
          </w:p>
        </w:tc>
        <w:tc>
          <w:tcPr/>
          <w:p>
            <w:pPr>
              <w:pStyle w:val="Compact"/>
            </w:pPr>
            <w:r>
              <w:t xml:space="preserve">InfoBlox Role</w:t>
            </w:r>
          </w:p>
        </w:tc>
      </w:tr>
      <w:tr>
        <w:tc>
          <w:tcPr/>
          <w:p>
            <w:pPr>
              <w:pStyle w:val="Compact"/>
            </w:pPr>
            <w:r>
              <w:rPr>
                <w:b/>
                <w:bCs/>
              </w:rPr>
              <w:t xml:space="preserve">ADCS (On-Prem)</w:t>
            </w:r>
          </w:p>
        </w:tc>
        <w:tc>
          <w:tcPr/>
          <w:p>
            <w:pPr>
              <w:pStyle w:val="Compact"/>
            </w:pPr>
            <w:r>
              <w:t xml:space="preserve">SCEP/EST connector; InfoBlox SCEP auto-enrollment</w:t>
            </w:r>
          </w:p>
        </w:tc>
        <w:tc>
          <w:tcPr/>
          <w:p>
            <w:pPr>
              <w:pStyle w:val="Compact"/>
            </w:pPr>
            <w:r>
              <w:t xml:space="preserve">Triggers enrollment on IP host record creation; binds cert thumbprint to IP record</w:t>
            </w:r>
          </w:p>
        </w:tc>
      </w:tr>
      <w:tr>
        <w:tc>
          <w:tcPr/>
          <w:p>
            <w:pPr>
              <w:pStyle w:val="Compact"/>
            </w:pPr>
            <w:r>
              <w:rPr>
                <w:b/>
                <w:bCs/>
              </w:rPr>
              <w:t xml:space="preserve">Azure Key Vault (GCC)</w:t>
            </w:r>
          </w:p>
        </w:tc>
        <w:tc>
          <w:tcPr/>
          <w:p>
            <w:pPr>
              <w:pStyle w:val="Compact"/>
            </w:pPr>
            <w:r>
              <w:t xml:space="preserve">Azure Key Vault REST API polling</w:t>
            </w:r>
          </w:p>
        </w:tc>
        <w:tc>
          <w:tcPr/>
          <w:p>
            <w:pPr>
              <w:pStyle w:val="Compact"/>
            </w:pPr>
            <w:r>
              <w:t xml:space="preserve">Imports cert metadata; correlates cert to Azure VM NIC IP; alerts on expiry</w:t>
            </w:r>
          </w:p>
        </w:tc>
      </w:tr>
      <w:tr>
        <w:tc>
          <w:tcPr/>
          <w:p>
            <w:pPr>
              <w:pStyle w:val="Compact"/>
            </w:pPr>
            <w:r>
              <w:rPr>
                <w:b/>
                <w:bCs/>
              </w:rPr>
              <w:t xml:space="preserve">AWS ACM Private CA</w:t>
            </w:r>
          </w:p>
        </w:tc>
        <w:tc>
          <w:tcPr/>
          <w:p>
            <w:pPr>
              <w:pStyle w:val="Compact"/>
            </w:pPr>
            <w:r>
              <w:t xml:space="preserve">ACM API; DNS validation CNAME auto-creation</w:t>
            </w:r>
          </w:p>
        </w:tc>
        <w:tc>
          <w:tcPr/>
          <w:p>
            <w:pPr>
              <w:pStyle w:val="Compact"/>
            </w:pPr>
            <w:r>
              <w:t xml:space="preserve">Creates ACM validation CNAMEs in Grid; tracks ACM PCA cert expiry</w:t>
            </w:r>
          </w:p>
        </w:tc>
      </w:tr>
      <w:tr>
        <w:tc>
          <w:tcPr/>
          <w:p>
            <w:pPr>
              <w:pStyle w:val="Compact"/>
            </w:pPr>
            <w:r>
              <w:rPr>
                <w:b/>
                <w:bCs/>
              </w:rPr>
              <w:t xml:space="preserve">Oracle OCI Certificates</w:t>
            </w:r>
          </w:p>
        </w:tc>
        <w:tc>
          <w:tcPr/>
          <w:p>
            <w:pPr>
              <w:pStyle w:val="Compact"/>
            </w:pPr>
            <w:r>
              <w:t xml:space="preserve">HTTPS endpoint polling (no OCI API needed)</w:t>
            </w:r>
          </w:p>
        </w:tc>
        <w:tc>
          <w:tcPr/>
          <w:p>
            <w:pPr>
              <w:pStyle w:val="Compact"/>
            </w:pPr>
            <w:r>
              <w:t xml:space="preserve">Imports OPM HRIT endpoint cert thumbprint; 90/30/7-day alerts to SSA team</w:t>
            </w:r>
          </w:p>
        </w:tc>
      </w:tr>
      <w:tr>
        <w:tc>
          <w:tcPr/>
          <w:p>
            <w:pPr>
              <w:pStyle w:val="Compact"/>
            </w:pPr>
            <w:r>
              <w:rPr>
                <w:b/>
                <w:bCs/>
              </w:rPr>
              <w:t xml:space="preserve">Keyfactor / Sectigo CLM</w:t>
            </w:r>
          </w:p>
        </w:tc>
        <w:tc>
          <w:tcPr/>
          <w:p>
            <w:pPr>
              <w:pStyle w:val="Compact"/>
            </w:pPr>
            <w:r>
              <w:t xml:space="preserve">Bidirectional API integration</w:t>
            </w:r>
          </w:p>
        </w:tc>
        <w:tc>
          <w:tcPr/>
          <w:p>
            <w:pPr>
              <w:pStyle w:val="Compact"/>
            </w:pPr>
            <w:r>
              <w:t xml:space="preserve">InfoBlox as DNS name SSOT for cert SAN validation; CLM uses InfoBlox IP ranges for discovery scanning</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Zero Trust Enabler:</w:t>
            </w:r>
            <w:r>
              <w:t xml:space="preserve"> </w:t>
            </w:r>
            <w:r>
              <w:t xml:space="preserve">Certificate-to-IP binding in InfoBlox is the technical foundation of</w:t>
            </w:r>
            <w:r>
              <w:t xml:space="preserve"> </w:t>
            </w:r>
            <w:r>
              <w:t xml:space="preserve">‘never trust, always verify’</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NAC Endpoints and DNS/Certificate Binding (Books 02 and 03):</w:t>
            </w:r>
            <w:r>
              <w:t xml:space="preserve"> </w:t>
            </w:r>
            <w:r>
              <w:t xml:space="preserve">The DNS A-record + SCEP certificate compound provisioning described above applies to</w:t>
            </w:r>
            <w:r>
              <w:t xml:space="preserve"> </w:t>
            </w:r>
            <w:r>
              <w:rPr>
                <w:b/>
                <w:bCs/>
              </w:rPr>
              <w:t xml:space="preserve">cloud workloads</w:t>
            </w:r>
            <w:r>
              <w:t xml:space="preserve"> </w:t>
            </w:r>
            <w:r>
              <w:t xml:space="preserve">(VMs and containers). For</w:t>
            </w:r>
            <w:r>
              <w:t xml:space="preserve"> </w:t>
            </w:r>
            <w:r>
              <w:rPr>
                <w:b/>
                <w:bCs/>
              </w:rPr>
              <w:t xml:space="preserve">NAC-enrolled endpoint devices</w:t>
            </w:r>
            <w:r>
              <w:t xml:space="preserve"> </w:t>
            </w:r>
            <w:r>
              <w:t xml:space="preserve">— laptops, workstations, and managed endpoints that authenticate via 802.1X EAP-TLS — the same compound pattern applies but is triggered differently:</w:t>
            </w:r>
          </w:p>
          <w:p>
            <w:pPr>
              <w:pStyle w:val="Compact"/>
              <w:numPr>
                <w:ilvl w:val="0"/>
                <w:numId w:val="1008"/>
              </w:numPr>
            </w:pPr>
            <w:r>
              <w:rPr>
                <w:b/>
                <w:bCs/>
              </w:rPr>
              <w:t xml:space="preserve">Intune/SCEP enrollment</w:t>
            </w:r>
            <w:r>
              <w:t xml:space="preserve"> </w:t>
            </w:r>
            <w:r>
              <w:t xml:space="preserve">(covered in</w:t>
            </w:r>
            <w:r>
              <w:t xml:space="preserve"> </w:t>
            </w:r>
            <w:hyperlink r:id="rId92">
              <w:r>
                <w:rPr>
                  <w:rStyle w:val="Hyperlink"/>
                </w:rPr>
                <w:t xml:space="preserve">Book 02</w:t>
              </w:r>
            </w:hyperlink>
            <w:r>
              <w:t xml:space="preserve">) issues the machine certificate with</w:t>
            </w:r>
            <w:r>
              <w:t xml:space="preserve"> </w:t>
            </w:r>
            <w:r>
              <w:rPr>
                <w:rStyle w:val="VerbatimChar"/>
              </w:rPr>
              <w:t xml:space="preserve">CN={{DeviceName}}</w:t>
            </w:r>
            <w:r>
              <w:t xml:space="preserve"> </w:t>
            </w:r>
            <w:r>
              <w:t xml:space="preserve">and SAN bound to the device’s Entra ID FQDN.</w:t>
            </w:r>
          </w:p>
          <w:p>
            <w:pPr>
              <w:pStyle w:val="Compact"/>
              <w:numPr>
                <w:ilvl w:val="0"/>
                <w:numId w:val="1008"/>
              </w:numPr>
            </w:pPr>
            <w:r>
              <w:rPr>
                <w:b/>
                <w:bCs/>
              </w:rPr>
              <w:t xml:space="preserve">DNS A/PTR record</w:t>
            </w:r>
            <w:r>
              <w:t xml:space="preserve"> </w:t>
            </w:r>
            <w:r>
              <w:t xml:space="preserve">for the endpoint should be confirmed or created in InfoBlox at DHCP lease assignment — binding the device’s DNS hostname (from Entra ID) to the DHCP-assigned IP address in the IPAM record.</w:t>
            </w:r>
          </w:p>
          <w:p>
            <w:pPr>
              <w:pStyle w:val="Compact"/>
              <w:numPr>
                <w:ilvl w:val="0"/>
                <w:numId w:val="1008"/>
              </w:numPr>
            </w:pPr>
            <w:r>
              <w:t xml:space="preserve">Together, steps 1 and 2 produce a device where</w:t>
            </w:r>
            <w:r>
              <w:t xml:space="preserve"> </w:t>
            </w:r>
            <w:r>
              <w:rPr>
                <w:b/>
                <w:bCs/>
              </w:rPr>
              <w:t xml:space="preserve">name, address, and key are bound at admission</w:t>
            </w:r>
            <w:r>
              <w:t xml:space="preserve"> </w:t>
            </w:r>
            <w:r>
              <w:t xml:space="preserve">— the same compound guarantee that workload provisioning achieves, extended to the endpoint population.</w:t>
            </w:r>
          </w:p>
          <w:p>
            <w:pPr>
              <w:pStyle w:val="FirstParagraph"/>
            </w:pPr>
            <w:pPr>
              <w:spacing w:after="16"/>
            </w:pPr>
            <w:r>
              <w:t xml:space="preserve">This linkage — that every NAC-admitted device carries both a DNS hostname and a machine certificate, and that InfoBlox holds the authoritative binding record — is the shared foundation of</w:t>
            </w:r>
            <w:r>
              <w:t xml:space="preserve"> </w:t>
            </w:r>
            <w:hyperlink r:id="rId92">
              <w:r>
                <w:rPr>
                  <w:rStyle w:val="Hyperlink"/>
                </w:rPr>
                <w:t xml:space="preserve">Book 02</w:t>
              </w:r>
            </w:hyperlink>
            <w:r>
              <w:t xml:space="preserve"> </w:t>
            </w:r>
            <w:r>
              <w:t xml:space="preserve">(NAC/802.1X) and</w:t>
            </w:r>
            <w:r>
              <w:t xml:space="preserve"> </w:t>
            </w:r>
            <w:hyperlink r:id="rId83">
              <w:r>
                <w:rPr>
                  <w:rStyle w:val="Hyperlink"/>
                </w:rPr>
                <w:t xml:space="preserve">Book 03</w:t>
              </w:r>
            </w:hyperlink>
            <w:r>
              <w:t xml:space="preserve"> </w:t>
            </w:r>
            <w:r>
              <w:t xml:space="preserve">(Cryptographic Identity). The design decision for this binding must be validated with OIS.</w:t>
            </w:r>
          </w:p>
          <w:p/>
        </w:tc>
      </w:tr>
    </w:tbl>
    <w:p>
      <w:r>
        <w:pict>
          <v:rect style="width:0;height:1.5pt" o:hralign="center" o:hrstd="t" o:hr="t"/>
        </w:pict>
      </w:r>
    </w:p>
    <w:bookmarkEnd w:id="93"/>
    <w:bookmarkEnd w:id="94"/>
    <w:bookmarkStart w:id="108" w:name="sec-subdomain"/>
    <w:p>
      <w:pPr>
        <w:pStyle w:val="Heading2"/>
      </w:pPr>
      <w:r>
        <w:t xml:space="preserve">5 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
          <w:bCs/>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95" w:name="sec-subdomain-why"/>
    <w:p>
      <w:pPr>
        <w:pStyle w:val="Heading3"/>
      </w:pPr>
      <w:r>
        <w:t xml:space="preserve">5.1 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
          <w:bCs/>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
          <w:bCs/>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BodyText"/>
      </w:pPr>
      <w:r>
        <w:rPr>
          <w:b/>
          <w:bCs/>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95"/>
    <w:bookmarkStart w:id="99" w:name="sec-subdomain-structure"/>
    <w:p>
      <w:pPr>
        <w:pStyle w:val="Heading3"/>
      </w:pPr>
      <w:r>
        <w:t xml:space="preserve">5.2 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97" name="Picture"/>
            <a:graphic>
              <a:graphicData uri="http://schemas.openxmlformats.org/drawingml/2006/picture">
                <pic:pic>
                  <pic:nvPicPr>
                    <pic:cNvPr descr="figs/lz-fig-16-subdomain-hierarchy.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
          <w:bCs/>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99"/>
    <w:bookmarkStart w:id="100" w:name="sec-subdomain-certs"/>
    <w:p>
      <w:pPr>
        <w:pStyle w:val="Heading3"/>
      </w:pPr>
      <w:r>
        <w:t xml:space="preserve">5.3 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w:t>
      </w:r>
    </w:p>
    <w:tbl>
      <w:tblPr>
        <w:tblStyle w:val="Table"/>
        <w:tblW w:type="pct" w:w="5000"/>
        <w:tblLayout w:type="fixed"/>
        <w:tblLook w:firstRow="1" w:lastRow="0" w:firstColumn="0" w:lastColumn="0" w:noHBand="0" w:noVBand="0" w:val="0020"/>
        <w:tblCaption w:val="Wildcard certificate scope by namespace level"/>
      </w:tblPr>
      <w:tblGrid>
        <w:gridCol w:w="2640"/>
        <w:gridCol w:w="2640"/>
        <w:gridCol w:w="2640"/>
      </w:tblGrid>
      <w:tr>
        <w:trPr>
          <w:tblHeader w:val="on"/>
        </w:trPr>
        <w:tc>
          <w:tcPr/>
          <w:p>
            <w:pPr>
              <w:pStyle w:val="Compact"/>
            </w:pPr>
            <w:r>
              <w:t xml:space="preserve">Wildcard</w:t>
            </w:r>
          </w:p>
        </w:tc>
        <w:tc>
          <w:tcPr/>
          <w:p>
            <w:pPr>
              <w:pStyle w:val="Compact"/>
            </w:pPr>
            <w:r>
              <w:t xml:space="preserve">Covers</w:t>
            </w:r>
          </w:p>
        </w:tc>
        <w:tc>
          <w:tcPr/>
          <w:p>
            <w:pPr>
              <w:pStyle w:val="Compact"/>
            </w:pPr>
            <w:r>
              <w:t xml:space="preserve">Does Not Cover</w:t>
            </w:r>
          </w:p>
        </w:tc>
      </w:tr>
      <w:tr>
        <w:tc>
          <w:tcPr/>
          <w:p>
            <w:pPr>
              <w:pStyle w:val="Compact"/>
            </w:pPr>
            <w:r>
              <w:rPr>
                <w:rStyle w:val="VerbatimChar"/>
              </w:rPr>
              <w:t xml:space="preserve">*.ssa.gov</w:t>
            </w:r>
          </w:p>
        </w:tc>
        <w:tc>
          <w:tcPr/>
          <w:p>
            <w:pPr>
              <w:pStyle w:val="Compac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pPr>
            <w:r>
              <w:rPr>
                <w:rStyle w:val="VerbatimChar"/>
              </w:rPr>
              <w:t xml:space="preserve">prod.api.ssa.gov</w:t>
            </w:r>
            <w:r>
              <w:t xml:space="preserve">,</w:t>
            </w:r>
            <w:r>
              <w:t xml:space="preserve"> </w:t>
            </w:r>
            <w:r>
              <w:rPr>
                <w:rStyle w:val="VerbatimChar"/>
              </w:rPr>
              <w:t xml:space="preserve">us-east.vc.ssa.gov</w:t>
            </w:r>
          </w:p>
        </w:tc>
      </w:tr>
      <w:tr>
        <w:tc>
          <w:tcPr/>
          <w:p>
            <w:pPr>
              <w:pStyle w:val="Compact"/>
            </w:pPr>
            <w:r>
              <w:rPr>
                <w:rStyle w:val="VerbatimChar"/>
              </w:rPr>
              <w:t xml:space="preserve">*.api.ssa.gov</w:t>
            </w:r>
          </w:p>
        </w:tc>
        <w:tc>
          <w:tcPr/>
          <w:p>
            <w:pPr>
              <w:pStyle w:val="Compact"/>
            </w:pPr>
            <w:r>
              <w:rPr>
                <w:rStyle w:val="VerbatimChar"/>
              </w:rPr>
              <w:t xml:space="preserve">prod.api.ssa.gov</w:t>
            </w:r>
            <w:r>
              <w:t xml:space="preserve">,</w:t>
            </w:r>
            <w:r>
              <w:t xml:space="preserve"> </w:t>
            </w:r>
            <w:r>
              <w:rPr>
                <w:rStyle w:val="VerbatimChar"/>
              </w:rPr>
              <w:t xml:space="preserve">staging.api.ssa.gov</w:t>
            </w:r>
          </w:p>
        </w:tc>
        <w:tc>
          <w:tcPr/>
          <w:p>
            <w:pPr>
              <w:pStyle w:val="Compact"/>
            </w:pPr>
            <w:r>
              <w:t xml:space="preserve">deeper labels</w:t>
            </w:r>
          </w:p>
        </w:tc>
      </w:tr>
      <w:tr>
        <w:tc>
          <w:tcPr/>
          <w:p>
            <w:pPr>
              <w:pStyle w:val="Compact"/>
            </w:pPr>
            <w:r>
              <w:rPr>
                <w:rStyle w:val="VerbatimChar"/>
              </w:rPr>
              <w:t xml:space="preserve">*.internal.ssa.gov</w:t>
            </w:r>
          </w:p>
        </w:tc>
        <w:tc>
          <w:tcPr/>
          <w:p>
            <w:pPr>
              <w:pStyle w:val="Compact"/>
            </w:pPr>
            <w:r>
              <w:rPr>
                <w:rStyle w:val="VerbatimChar"/>
              </w:rPr>
              <w:t xml:space="preserve">vmw.internal.ssa.gov</w:t>
            </w:r>
            <w:r>
              <w:t xml:space="preserve">,</w:t>
            </w:r>
            <w:r>
              <w:t xml:space="preserve"> </w:t>
            </w:r>
            <w:r>
              <w:rPr>
                <w:rStyle w:val="VerbatimChar"/>
              </w:rPr>
              <w:t xml:space="preserve">azure.internal.ssa.gov</w:t>
            </w:r>
          </w:p>
        </w:tc>
        <w:tc>
          <w:tcPr/>
          <w:p>
            <w:pPr>
              <w:pStyle w:val="Compact"/>
            </w:pPr>
            <w:r>
              <w:t xml:space="preserve">deeper labels</w:t>
            </w:r>
          </w:p>
        </w:tc>
      </w:tr>
      <w:tr>
        <w:tc>
          <w:tcPr/>
          <w:p>
            <w:pPr>
              <w:pStyle w:val="Compact"/>
            </w:pPr>
            <w:r>
              <w:rPr>
                <w:rStyle w:val="VerbatimChar"/>
              </w:rPr>
              <w:t xml:space="preserve">*.vc.ssa.gov</w:t>
            </w:r>
          </w:p>
        </w:tc>
        <w:tc>
          <w:tcPr/>
          <w:p>
            <w:pPr>
              <w:pStyle w:val="Compact"/>
            </w:pPr>
            <w:r>
              <w:t xml:space="preserve">all video conferencing endpoints</w:t>
            </w:r>
          </w:p>
        </w:tc>
        <w:tc>
          <w:tcPr/>
          <w:p>
            <w:pPr>
              <w:pStyle w:val="Compact"/>
            </w:pPr>
            <w:r>
              <w:t xml:space="preserve">deeper labels</w:t>
            </w:r>
          </w:p>
        </w:tc>
      </w:tr>
    </w:tbl>
    <w:p>
      <w:pPr>
        <w:pStyle w:val="BodyText"/>
      </w:pPr>
      <w:r>
        <w:t xml:space="preserve">The certificate lifecycle described in</w:t>
      </w:r>
      <w:r>
        <w:t xml:space="preserve"> </w:t>
      </w:r>
      <w:hyperlink w:anchor="sec-certs">
        <w:r>
          <w:rPr>
            <w:rStyle w:val="Hyperlink"/>
          </w:rPr>
          <w:t xml:space="preserve">Section 4</w:t>
        </w:r>
      </w:hyperlink>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100"/>
    <w:bookmarkStart w:id="104" w:name="sec-subdomain-split"/>
    <w:p>
      <w:pPr>
        <w:pStyle w:val="Heading3"/>
      </w:pPr>
      <w:r>
        <w:t xml:space="preserve">5.4 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w:t>
      </w:r>
    </w:p>
    <w:tbl>
      <w:tblPr>
        <w:tblStyle w:val="Table"/>
        <w:tblW w:type="pct" w:w="5000"/>
        <w:tblLayout w:type="fixed"/>
        <w:tblLook w:firstRow="1" w:lastRow="0" w:firstColumn="0" w:lastColumn="0" w:noHBand="0" w:noVBand="0" w:val="0020"/>
        <w:tblCaption w:val="InfoBlox DNS view configuration for SSA"/>
      </w:tblPr>
      <w:tblGrid>
        <w:gridCol w:w="1980"/>
        <w:gridCol w:w="1980"/>
        <w:gridCol w:w="1980"/>
        <w:gridCol w:w="1980"/>
      </w:tblGrid>
      <w:tr>
        <w:trPr>
          <w:tblHeader w:val="on"/>
        </w:trPr>
        <w:tc>
          <w:tcPr/>
          <w:p>
            <w:pPr>
              <w:pStyle w:val="Compact"/>
            </w:pPr>
            <w:r>
              <w:t xml:space="preserve">View</w:t>
            </w:r>
          </w:p>
        </w:tc>
        <w:tc>
          <w:tcPr/>
          <w:p>
            <w:pPr>
              <w:pStyle w:val="Compact"/>
            </w:pPr>
            <w:r>
              <w:t xml:space="preserve">Source Networks</w:t>
            </w:r>
          </w:p>
        </w:tc>
        <w:tc>
          <w:tcPr/>
          <w:p>
            <w:pPr>
              <w:pStyle w:val="Compact"/>
            </w:pPr>
            <w:r>
              <w:t xml:space="preserve">Zones Served</w:t>
            </w:r>
          </w:p>
        </w:tc>
        <w:tc>
          <w:tcPr/>
          <w:p>
            <w:pPr>
              <w:pStyle w:val="Compact"/>
            </w:pPr>
            <w:r>
              <w:t xml:space="preserve">Private IPs Exposed</w:t>
            </w:r>
          </w:p>
        </w:tc>
      </w:tr>
      <w:tr>
        <w:tc>
          <w:tcPr/>
          <w:p>
            <w:pPr>
              <w:pStyle w:val="Compact"/>
            </w:pPr>
            <w:r>
              <w:rPr>
                <w:rStyle w:val="VerbatimChar"/>
              </w:rPr>
              <w:t xml:space="preserve">internal-view</w:t>
            </w:r>
          </w:p>
        </w:tc>
        <w:tc>
          <w:tcPr/>
          <w:p>
            <w:pPr>
              <w:pStyle w:val="Compact"/>
            </w:pPr>
            <w:r>
              <w:t xml:space="preserve">10.0.0.0/8, VPN pool CIDRs</w:t>
            </w:r>
          </w:p>
        </w:tc>
        <w:tc>
          <w:tcPr/>
          <w:p>
            <w:pPr>
              <w:pStyle w:val="Compac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pPr>
            <w:r>
              <w:t xml:space="preserve">Yes</w:t>
            </w:r>
          </w:p>
        </w:tc>
      </w:tr>
      <w:tr>
        <w:tc>
          <w:tcPr/>
          <w:p>
            <w:pPr>
              <w:pStyle w:val="Compact"/>
            </w:pPr>
            <w:r>
              <w:rPr>
                <w:rStyle w:val="VerbatimChar"/>
              </w:rPr>
              <w:t xml:space="preserve">cloud-internal-view</w:t>
            </w:r>
          </w:p>
        </w:tc>
        <w:tc>
          <w:tcPr/>
          <w:p>
            <w:pPr>
              <w:pStyle w:val="Compact"/>
            </w:pPr>
            <w:r>
              <w:t xml:space="preserve">Azure VNet CIDRs, AWS VPC CIDRs, OCI VCN CIDRs</w:t>
            </w:r>
          </w:p>
        </w:tc>
        <w:tc>
          <w:tcPr/>
          <w:p>
            <w:pPr>
              <w:pStyle w:val="Compact"/>
            </w:pPr>
            <w:r>
              <w:rPr>
                <w:rStyle w:val="VerbatimChar"/>
              </w:rPr>
              <w:t xml:space="preserve">*.internal.ssa.gov</w:t>
            </w:r>
            <w:r>
              <w:t xml:space="preserve">, conditional forwarders to cloud-native DNS</w:t>
            </w:r>
          </w:p>
        </w:tc>
        <w:tc>
          <w:tcPr/>
          <w:p>
            <w:pPr>
              <w:pStyle w:val="Compact"/>
            </w:pPr>
            <w:r>
              <w:t xml:space="preserve">Yes</w:t>
            </w:r>
          </w:p>
        </w:tc>
      </w:tr>
      <w:tr>
        <w:tc>
          <w:tcPr/>
          <w:p>
            <w:pPr>
              <w:pStyle w:val="Compact"/>
            </w:pPr>
            <w:r>
              <w:rPr>
                <w:rStyle w:val="VerbatimChar"/>
              </w:rPr>
              <w:t xml:space="preserve">external-view</w:t>
            </w:r>
          </w:p>
        </w:tc>
        <w:tc>
          <w:tcPr/>
          <w:p>
            <w:pPr>
              <w:pStyle w:val="Compact"/>
            </w:pPr>
            <w:r>
              <w:t xml:space="preserve">All other sources (internet)</w:t>
            </w:r>
          </w:p>
        </w:tc>
        <w:tc>
          <w:tcPr/>
          <w:p>
            <w:pPr>
              <w:pStyle w:val="Compact"/>
            </w:pPr>
            <w:r>
              <w:rPr>
                <w:rStyle w:val="VerbatimChar"/>
              </w:rPr>
              <w:t xml:space="preserve">ssa.gov</w:t>
            </w:r>
            <w:r>
              <w:t xml:space="preserve"> </w:t>
            </w:r>
            <w:r>
              <w:t xml:space="preserve">public records only, DNSSEC-signed</w:t>
            </w:r>
          </w:p>
        </w:tc>
        <w:tc>
          <w:tcPr/>
          <w:p>
            <w:pPr>
              <w:pStyle w:val="Compac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
          <w:bCs/>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
          <w:bCs/>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
          <w:bCs/>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102" name="Picture"/>
            <a:graphic>
              <a:graphicData uri="http://schemas.openxmlformats.org/drawingml/2006/picture">
                <pic:pic>
                  <pic:nvPicPr>
                    <pic:cNvPr descr="figs/lz-fig-17-split-horizon.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104"/>
    <w:bookmarkStart w:id="105" w:name="sec-subdomain-iac"/>
    <w:p>
      <w:pPr>
        <w:pStyle w:val="Heading3"/>
      </w:pPr>
      <w:r>
        <w:t xml:space="preserve">5.5 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
          <w:bCs/>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w:t>
      </w:r>
    </w:p>
    <w:tbl>
      <w:tblPr>
        <w:tblStyle w:val="Table"/>
        <w:tblW w:type="pct" w:w="5000"/>
        <w:tblLayout w:type="fixed"/>
        <w:tblLook w:firstRow="1" w:lastRow="0" w:firstColumn="0" w:lastColumn="0" w:noHBand="0" w:noVBand="0" w:val="0020"/>
        <w:tblCaption w:val="vDiscovery naming templates by cloud platform"/>
      </w:tblPr>
      <w:tblGrid>
        <w:gridCol w:w="2640"/>
        <w:gridCol w:w="2640"/>
        <w:gridCol w:w="2640"/>
      </w:tblGrid>
      <w:tr>
        <w:trPr>
          <w:tblHeader w:val="on"/>
        </w:trPr>
        <w:tc>
          <w:tcPr/>
          <w:p>
            <w:pPr>
              <w:pStyle w:val="Compact"/>
            </w:pPr>
            <w:r>
              <w:t xml:space="preserve">Platform</w:t>
            </w:r>
          </w:p>
        </w:tc>
        <w:tc>
          <w:tcPr/>
          <w:p>
            <w:pPr>
              <w:pStyle w:val="Compact"/>
            </w:pPr>
            <w:r>
              <w:t xml:space="preserve">vDiscovery Template</w:t>
            </w:r>
          </w:p>
        </w:tc>
        <w:tc>
          <w:tcPr/>
          <w:p>
            <w:pPr>
              <w:pStyle w:val="Compact"/>
            </w:pPr>
            <w:r>
              <w:t xml:space="preserve">Zone</w:t>
            </w:r>
          </w:p>
        </w:tc>
      </w:tr>
      <w:tr>
        <w:tc>
          <w:tcPr/>
          <w:p>
            <w:pPr>
              <w:pStyle w:val="Compact"/>
            </w:pPr>
            <w:r>
              <w:t xml:space="preserve">VMware vSphere</w:t>
            </w:r>
          </w:p>
        </w:tc>
        <w:tc>
          <w:tcPr/>
          <w:p>
            <w:pPr>
              <w:pStyle w:val="Compact"/>
            </w:pPr>
            <w:r>
              <w:rPr>
                <w:rStyle w:val="VerbatimChar"/>
              </w:rPr>
              <w:t xml:space="preserve">{vm_name}.vmw.internal.ssa.gov</w:t>
            </w:r>
          </w:p>
        </w:tc>
        <w:tc>
          <w:tcPr/>
          <w:p>
            <w:pPr>
              <w:pStyle w:val="Compact"/>
            </w:pPr>
            <w:r>
              <w:rPr>
                <w:rStyle w:val="VerbatimChar"/>
              </w:rPr>
              <w:t xml:space="preserve">vmw.internal.ssa.gov</w:t>
            </w:r>
          </w:p>
        </w:tc>
      </w:tr>
      <w:tr>
        <w:tc>
          <w:tcPr/>
          <w:p>
            <w:pPr>
              <w:pStyle w:val="Compact"/>
            </w:pPr>
            <w:r>
              <w:t xml:space="preserve">Azure Government</w:t>
            </w:r>
          </w:p>
        </w:tc>
        <w:tc>
          <w:tcPr/>
          <w:p>
            <w:pPr>
              <w:pStyle w:val="Compact"/>
            </w:pPr>
            <w:r>
              <w:rPr>
                <w:rStyle w:val="VerbatimChar"/>
              </w:rPr>
              <w:t xml:space="preserve">{resource_name}.azure.internal.ssa.gov</w:t>
            </w:r>
          </w:p>
        </w:tc>
        <w:tc>
          <w:tcPr/>
          <w:p>
            <w:pPr>
              <w:pStyle w:val="Compact"/>
            </w:pPr>
            <w:r>
              <w:rPr>
                <w:rStyle w:val="VerbatimChar"/>
              </w:rPr>
              <w:t xml:space="preserve">azure.internal.ssa.gov</w:t>
            </w:r>
          </w:p>
        </w:tc>
      </w:tr>
      <w:tr>
        <w:tc>
          <w:tcPr/>
          <w:p>
            <w:pPr>
              <w:pStyle w:val="Compact"/>
            </w:pPr>
            <w:r>
              <w:t xml:space="preserve">AWS GovCloud</w:t>
            </w:r>
          </w:p>
        </w:tc>
        <w:tc>
          <w:tcPr/>
          <w:p>
            <w:pPr>
              <w:pStyle w:val="Compact"/>
            </w:pPr>
            <w:r>
              <w:rPr>
                <w:rStyle w:val="VerbatimChar"/>
              </w:rPr>
              <w:t xml:space="preserve">{instance_name}.aws.internal.ssa.gov</w:t>
            </w:r>
          </w:p>
        </w:tc>
        <w:tc>
          <w:tcPr/>
          <w:p>
            <w:pPr>
              <w:pStyle w:val="Compact"/>
            </w:pPr>
            <w:r>
              <w:rPr>
                <w:rStyle w:val="VerbatimChar"/>
              </w:rPr>
              <w:t xml:space="preserve">aws.internal.ssa.gov</w:t>
            </w:r>
          </w:p>
        </w:tc>
      </w:tr>
      <w:tr>
        <w:tc>
          <w:tcPr/>
          <w:p>
            <w:pPr>
              <w:pStyle w:val="Compact"/>
            </w:pPr>
            <w:r>
              <w:t xml:space="preserve">Oracle OCI</w:t>
            </w:r>
          </w:p>
        </w:tc>
        <w:tc>
          <w:tcPr/>
          <w:p>
            <w:pPr>
              <w:pStyle w:val="Compact"/>
            </w:pPr>
            <w:r>
              <w:rPr>
                <w:rStyle w:val="VerbatimChar"/>
              </w:rPr>
              <w:t xml:space="preserve">{instance_name}.oci.internal.ssa.gov</w:t>
            </w:r>
          </w:p>
        </w:tc>
        <w:tc>
          <w:tcPr/>
          <w:p>
            <w:pPr>
              <w:pStyle w:val="Compac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
          <w:bCs/>
        </w:rPr>
        <w:t xml:space="preserve">Kubernetes</w:t>
      </w:r>
      <w:r>
        <w:rPr>
          <w:b/>
          <w:bCs/>
        </w:rPr>
        <w:t xml:space="preserve"> </w:t>
      </w:r>
      <w:r>
        <w:rPr>
          <w:rStyle w:val="VerbatimChar"/>
          <w:b/>
          <w:bCs/>
        </w:rPr>
        <w:t xml:space="preserve">external-dns</w:t>
      </w:r>
      <w:r>
        <w:rPr>
          <w:b/>
          <w:bCs/>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105"/>
    <w:bookmarkStart w:id="106" w:name="sec-subdomain-rpz"/>
    <w:p>
      <w:pPr>
        <w:pStyle w:val="Heading3"/>
      </w:pPr>
      <w:r>
        <w:t xml:space="preserve">5.6 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w:t>
      </w:r>
    </w:p>
    <w:tbl>
      <w:tblPr>
        <w:tblStyle w:val="Table"/>
        <w:tblW w:type="pct" w:w="5000"/>
        <w:tblLayout w:type="fixed"/>
        <w:tblLook w:firstRow="1" w:lastRow="0" w:firstColumn="0" w:lastColumn="0" w:noHBand="0" w:noVBand="0" w:val="0020"/>
        <w:tblCaption w:val="RPZ policy attachment by subdomain zone"/>
      </w:tblPr>
      <w:tblGrid>
        <w:gridCol w:w="3960"/>
        <w:gridCol w:w="3960"/>
      </w:tblGrid>
      <w:tr>
        <w:trPr>
          <w:tblHeader w:val="on"/>
        </w:trPr>
        <w:tc>
          <w:tcPr/>
          <w:p>
            <w:pPr>
              <w:pStyle w:val="Compact"/>
            </w:pPr>
            <w:r>
              <w:t xml:space="preserve">Zone</w:t>
            </w:r>
          </w:p>
        </w:tc>
        <w:tc>
          <w:tcPr/>
          <w:p>
            <w:pPr>
              <w:pStyle w:val="Compact"/>
            </w:pPr>
            <w:r>
              <w:t xml:space="preserve">RPZ Policy</w:t>
            </w:r>
          </w:p>
        </w:tc>
      </w:tr>
      <w:tr>
        <w:tc>
          <w:tcPr/>
          <w:p>
            <w:pPr>
              <w:pStyle w:val="Compact"/>
            </w:pPr>
            <w:r>
              <w:rPr>
                <w:rStyle w:val="VerbatimChar"/>
              </w:rPr>
              <w:t xml:space="preserve">ssa.gov</w:t>
            </w:r>
            <w:r>
              <w:t xml:space="preserve"> </w:t>
            </w:r>
            <w:r>
              <w:t xml:space="preserve">external view</w:t>
            </w:r>
          </w:p>
        </w:tc>
        <w:tc>
          <w:tcPr/>
          <w:p>
            <w:pPr>
              <w:pStyle w:val="Compact"/>
            </w:pPr>
            <w:r>
              <w:t xml:space="preserve">CISA threat intelligence feed + M365 GCC allow-list</w:t>
            </w:r>
          </w:p>
        </w:tc>
      </w:tr>
      <w:tr>
        <w:tc>
          <w:tcPr/>
          <w:p>
            <w:pPr>
              <w:pStyle w:val="Compact"/>
            </w:pPr>
            <w:r>
              <w:rPr>
                <w:rStyle w:val="VerbatimChar"/>
              </w:rPr>
              <w:t xml:space="preserve">vc.ssa.gov</w:t>
            </w:r>
          </w:p>
        </w:tc>
        <w:tc>
          <w:tcPr/>
          <w:p>
            <w:pPr>
              <w:pStyle w:val="Compact"/>
            </w:pPr>
            <w:r>
              <w:t xml:space="preserve">SIP/H.323 federation allow-list; block unapproved conferencing endpoints</w:t>
            </w:r>
          </w:p>
        </w:tc>
      </w:tr>
      <w:tr>
        <w:tc>
          <w:tcPr/>
          <w:p>
            <w:pPr>
              <w:pStyle w:val="Compact"/>
            </w:pPr>
            <w:r>
              <w:rPr>
                <w:rStyle w:val="VerbatimChar"/>
              </w:rPr>
              <w:t xml:space="preserve">internal.ssa.gov</w:t>
            </w:r>
          </w:p>
        </w:tc>
        <w:tc>
          <w:tcPr/>
          <w:p>
            <w:pPr>
              <w:pStyle w:val="Compact"/>
            </w:pPr>
            <w:r>
              <w:t xml:space="preserve">Internal-only flag — NXDOMAIN for any external resolution attempt</w:t>
            </w:r>
          </w:p>
        </w:tc>
      </w:tr>
      <w:tr>
        <w:tc>
          <w:tcPr/>
          <w:p>
            <w:pPr>
              <w:pStyle w:val="Compact"/>
            </w:pPr>
            <w:r>
              <w:rPr>
                <w:rStyle w:val="VerbatimChar"/>
              </w:rPr>
              <w:t xml:space="preserve">mgmt.ssa.gov</w:t>
            </w:r>
          </w:p>
        </w:tc>
        <w:tc>
          <w:tcPr/>
          <w:p>
            <w:pPr>
              <w:pStyle w:val="Compac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106"/>
    <w:bookmarkStart w:id="107" w:name="sec-subdomain-nist"/>
    <w:p>
      <w:pPr>
        <w:pStyle w:val="Heading3"/>
      </w:pPr>
      <w:r>
        <w:t xml:space="preserve">5.7 Additional NIST Controls from Namespace Design</w:t>
      </w:r>
    </w:p>
    <w:p>
      <w:pPr>
        <w:pStyle w:val="FirstParagraph"/>
      </w:pPr>
      <w:r>
        <w:t xml:space="preserve">The subdomain strategy adds three controls to the NIST mapping in</w:t>
      </w:r>
      <w:r>
        <w:t xml:space="preserve"> </w:t>
      </w:r>
      <w:hyperlink w:anchor="sec-nist">
        <w:r>
          <w:rPr>
            <w:rStyle w:val="Hyperlink"/>
          </w:rPr>
          <w:t xml:space="preserve">Section 7</w:t>
        </w:r>
      </w:hyperlink>
      <w:r>
        <w:t xml:space="preserve">:</w:t>
      </w:r>
    </w:p>
    <w:p>
      <w:pPr>
        <w:pStyle w:val="TableCaption"/>
      </w:pPr>
      <w:r>
        <w:t xml:space="preserve">Additional controls from subdomain namespace design</w:t>
      </w:r>
    </w:p>
    <w:tbl>
      <w:tblPr>
        <w:tblStyle w:val="Table"/>
        <w:tblW w:type="pct" w:w="5000"/>
        <w:tblLayout w:type="fixed"/>
        <w:tblLook w:firstRow="1" w:lastRow="0" w:firstColumn="0" w:lastColumn="0" w:noHBand="0" w:noVBand="0" w:val="0020"/>
        <w:tblCaption w:val="Additional controls from subdomain namespace design"/>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Contribution</w:t>
            </w:r>
          </w:p>
        </w:tc>
      </w:tr>
      <w:tr>
        <w:tc>
          <w:tcPr/>
          <w:p>
            <w:pPr>
              <w:pStyle w:val="Compact"/>
            </w:pPr>
            <w:r>
              <w:t xml:space="preserve">SC-22</w:t>
            </w:r>
          </w:p>
        </w:tc>
        <w:tc>
          <w:tcPr/>
          <w:p>
            <w:pPr>
              <w:pStyle w:val="Compact"/>
            </w:pPr>
            <w:r>
              <w:t xml:space="preserve">Architecture and Provisioning for Name/Address Resolution</w:t>
            </w:r>
          </w:p>
        </w:tc>
        <w:tc>
          <w:tcPr/>
          <w:p>
            <w:pPr>
              <w:pStyle w:val="Compact"/>
            </w:pPr>
            <w:r>
              <w:t xml:space="preserve">Zone hierarchy with delegated authority and view separation enforcing internal/external boundary</w:t>
            </w:r>
          </w:p>
        </w:tc>
      </w:tr>
      <w:tr>
        <w:tc>
          <w:tcPr/>
          <w:p>
            <w:pPr>
              <w:pStyle w:val="Compact"/>
            </w:pPr>
            <w:r>
              <w:t xml:space="preserve">AC-4</w:t>
            </w:r>
          </w:p>
        </w:tc>
        <w:tc>
          <w:tcPr/>
          <w:p>
            <w:pPr>
              <w:pStyle w:val="Compact"/>
            </w:pPr>
            <w:r>
              <w:t xml:space="preserve">Information Flow Enforcement</w:t>
            </w:r>
          </w:p>
        </w:tc>
        <w:tc>
          <w:tcPr/>
          <w:p>
            <w:pPr>
              <w:pStyle w:val="Compact"/>
            </w:pPr>
            <w:r>
              <w:t xml:space="preserve">Internal views prevent DNS resolution from cloud environments to unapproved external destinations; RPZ at zone level enforces M365 GCC allow-list</w:t>
            </w:r>
          </w:p>
        </w:tc>
      </w:tr>
      <w:tr>
        <w:tc>
          <w:tcPr/>
          <w:p>
            <w:pPr>
              <w:pStyle w:val="Compact"/>
            </w:pPr>
            <w:r>
              <w:t xml:space="preserve">SA-9</w:t>
            </w:r>
          </w:p>
        </w:tc>
        <w:tc>
          <w:tcPr/>
          <w:p>
            <w:pPr>
              <w:pStyle w:val="Compact"/>
            </w:pPr>
            <w:r>
              <w:t xml:space="preserve">External System Services</w:t>
            </w:r>
          </w:p>
        </w:tc>
        <w:tc>
          <w:tcPr/>
          <w:p>
            <w:pPr>
              <w:pStyle w:val="Compac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107"/>
    <w:bookmarkEnd w:id="108"/>
    <w:bookmarkStart w:id="113" w:name="sec-dns-steering"/>
    <w:p>
      <w:pPr>
        <w:pStyle w:val="Heading2"/>
      </w:pPr>
      <w:r>
        <w:t xml:space="preserve">6 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CaptionedFigure"/>
      </w:pPr>
      <w:r>
        <w:drawing>
          <wp:inline>
            <wp:extent cx="5334000" cy="2667000"/>
            <wp:effectExtent b="0" l="0" r="0" t="0"/>
            <wp:docPr descr="InfoBlox DTC — DNS-Based Traffic Steering Across On-Premises and Multi-Cloud Endpoints" title="" id="110" name="Picture"/>
            <a:graphic>
              <a:graphicData uri="http://schemas.openxmlformats.org/drawingml/2006/picture">
                <pic:pic>
                  <pic:nvPicPr>
                    <pic:cNvPr descr="figs/lz-fig-18-dns-traffic-steering.png" id="111" name="Picture"/>
                    <pic:cNvPicPr>
                      <a:picLocks noChangeArrowheads="1" noChangeAspect="1"/>
                    </pic:cNvPicPr>
                  </pic:nvPicPr>
                  <pic:blipFill>
                    <a:blip r:embed="rId10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DTC — DNS-Based Traffic Steering Across On-Premises and Multi-Cloud Endpoints</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“load balancer”</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
          <w:iCs/>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
          <w:iCs/>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112">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“procure a GSLB replacement.”</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113"/>
    <w:bookmarkStart w:id="116" w:name="sec-nist"/>
    <w:p>
      <w:pPr>
        <w:pStyle w:val="Heading2"/>
      </w:pPr>
      <w:r>
        <w:t xml:space="preserve">7 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w:t>
      </w:r>
    </w:p>
    <w:tbl>
      <w:tblPr>
        <w:tblStyle w:val="Table"/>
        <w:tblW w:type="pct" w:w="5000"/>
        <w:tblLayout w:type="fixed"/>
        <w:tblLook w:firstRow="1" w:lastRow="0" w:firstColumn="0" w:lastColumn="0" w:noHBand="0" w:noVBand="0" w:val="0020"/>
        <w:tblCaption w:val="NIST SP 800-53 Rev 5 Control Coverage"/>
      </w:tblPr>
      <w:tblGrid>
        <w:gridCol w:w="1980"/>
        <w:gridCol w:w="1980"/>
        <w:gridCol w:w="1980"/>
        <w:gridCol w:w="1980"/>
      </w:tblGrid>
      <w:tr>
        <w:trPr>
          <w:tblHeader w:val="on"/>
        </w:trPr>
        <w:tc>
          <w:tcPr/>
          <w:p>
            <w:pPr>
              <w:pStyle w:val="Compact"/>
            </w:pPr>
            <w:r>
              <w:t xml:space="preserve">Control</w:t>
            </w:r>
          </w:p>
        </w:tc>
        <w:tc>
          <w:tcPr/>
          <w:p>
            <w:pPr>
              <w:pStyle w:val="Compact"/>
            </w:pPr>
            <w:r>
              <w:t xml:space="preserve">What InfoBlox DDI Provides</w:t>
            </w:r>
          </w:p>
        </w:tc>
        <w:tc>
          <w:tcPr/>
          <w:p>
            <w:pPr>
              <w:pStyle w:val="Compact"/>
            </w:pPr>
            <w:r>
              <w:t xml:space="preserve">Evidence Artifact</w:t>
            </w:r>
          </w:p>
        </w:tc>
        <w:tc>
          <w:tcPr/>
          <w:p>
            <w:pPr>
              <w:pStyle w:val="Compact"/>
            </w:pPr>
            <w:r>
              <w:t xml:space="preserve">Satisfies</w:t>
            </w:r>
          </w:p>
        </w:tc>
      </w:tr>
      <w:tr>
        <w:tc>
          <w:tcPr/>
          <w:p>
            <w:pPr>
              <w:pStyle w:val="Compact"/>
            </w:pPr>
            <w:r>
              <w:rPr>
                <w:b/>
                <w:bCs/>
              </w:rPr>
              <w:t xml:space="preserve">SC-20</w:t>
            </w:r>
          </w:p>
        </w:tc>
        <w:tc>
          <w:tcPr/>
          <w:p>
            <w:pPr>
              <w:pStyle w:val="Compact"/>
            </w:pPr>
            <w:r>
              <w:t xml:space="preserve">DNSSEC signing of all DNS zones including internal SDN segments</w:t>
            </w:r>
          </w:p>
        </w:tc>
        <w:tc>
          <w:tcPr/>
          <w:p>
            <w:pPr>
              <w:pStyle w:val="Compact"/>
            </w:pPr>
            <w:r>
              <w:t xml:space="preserve">DNSSEC key log; DS record at .gov registrar</w:t>
            </w:r>
          </w:p>
        </w:tc>
        <w:tc>
          <w:tcPr/>
          <w:p>
            <w:pPr>
              <w:pStyle w:val="Compact"/>
            </w:pPr>
            <w:r>
              <w:t xml:space="preserve">SC-20, SC-20(1)</w:t>
            </w:r>
          </w:p>
        </w:tc>
      </w:tr>
      <w:tr>
        <w:tc>
          <w:tcPr/>
          <w:p>
            <w:pPr>
              <w:pStyle w:val="Compact"/>
            </w:pPr>
            <w:r>
              <w:rPr>
                <w:b/>
                <w:bCs/>
              </w:rPr>
              <w:t xml:space="preserve">SC-21</w:t>
            </w:r>
          </w:p>
        </w:tc>
        <w:tc>
          <w:tcPr/>
          <w:p>
            <w:pPr>
              <w:pStyle w:val="Compact"/>
            </w:pPr>
            <w:r>
              <w:t xml:space="preserve">Recursive DNSSEC validation on all Grid Members; RPZ with CISA Protective DNS feed</w:t>
            </w:r>
          </w:p>
        </w:tc>
        <w:tc>
          <w:tcPr/>
          <w:p>
            <w:pPr>
              <w:pStyle w:val="Compact"/>
            </w:pPr>
            <w:r>
              <w:t xml:space="preserve">RPZ hit log → SIEM; validation failure alert</w:t>
            </w:r>
          </w:p>
        </w:tc>
        <w:tc>
          <w:tcPr/>
          <w:p>
            <w:pPr>
              <w:pStyle w:val="Compact"/>
            </w:pPr>
            <w:r>
              <w:t xml:space="preserve">SC-21</w:t>
            </w:r>
          </w:p>
        </w:tc>
      </w:tr>
      <w:tr>
        <w:tc>
          <w:tcPr/>
          <w:p>
            <w:pPr>
              <w:pStyle w:val="Compact"/>
            </w:pPr>
            <w:r>
              <w:rPr>
                <w:b/>
                <w:bCs/>
              </w:rPr>
              <w:t xml:space="preserve">SC-22</w:t>
            </w:r>
          </w:p>
        </w:tc>
        <w:tc>
          <w:tcPr/>
          <w:p>
            <w:pPr>
              <w:pStyle w:val="Compact"/>
            </w:pPr>
            <w:r>
              <w:t xml:space="preserve">Network Insight auto-generates DDI topology; Grid Master-to-Member map</w:t>
            </w:r>
          </w:p>
        </w:tc>
        <w:tc>
          <w:tcPr/>
          <w:p>
            <w:pPr>
              <w:pStyle w:val="Compact"/>
            </w:pPr>
            <w:r>
              <w:t xml:space="preserve">Network Insight export; SSP Appendix J</w:t>
            </w:r>
          </w:p>
        </w:tc>
        <w:tc>
          <w:tcPr/>
          <w:p>
            <w:pPr>
              <w:pStyle w:val="Compact"/>
            </w:pPr>
            <w:r>
              <w:t xml:space="preserve">SC-22</w:t>
            </w:r>
          </w:p>
        </w:tc>
      </w:tr>
      <w:tr>
        <w:tc>
          <w:tcPr/>
          <w:p>
            <w:pPr>
              <w:pStyle w:val="Compact"/>
            </w:pPr>
            <w:r>
              <w:rPr>
                <w:b/>
                <w:bCs/>
              </w:rPr>
              <w:t xml:space="preserve">SC-7</w:t>
            </w:r>
          </w:p>
        </w:tc>
        <w:tc>
          <w:tcPr/>
          <w:p>
            <w:pPr>
              <w:pStyle w:val="Compact"/>
            </w:pPr>
            <w:r>
              <w:t xml:space="preserve">RPZ enforces domain-level egress blocking across all four SDN environments; DNS exfiltration detection</w:t>
            </w:r>
          </w:p>
        </w:tc>
        <w:tc>
          <w:tcPr/>
          <w:p>
            <w:pPr>
              <w:pStyle w:val="Compact"/>
            </w:pPr>
            <w:r>
              <w:t xml:space="preserve">RPZ block rate dashboard; exfil alert config</w:t>
            </w:r>
          </w:p>
        </w:tc>
        <w:tc>
          <w:tcPr/>
          <w:p>
            <w:pPr>
              <w:pStyle w:val="Compact"/>
            </w:pPr>
            <w:r>
              <w:t xml:space="preserve">SC-7, SC-7(7)</w:t>
            </w:r>
          </w:p>
        </w:tc>
      </w:tr>
      <w:tr>
        <w:tc>
          <w:tcPr/>
          <w:p>
            <w:pPr>
              <w:pStyle w:val="Compact"/>
            </w:pPr>
            <w:r>
              <w:rPr>
                <w:b/>
                <w:bCs/>
              </w:rPr>
              <w:t xml:space="preserve">SC-8</w:t>
            </w:r>
          </w:p>
        </w:tc>
        <w:tc>
          <w:tcPr/>
          <w:p>
            <w:pPr>
              <w:pStyle w:val="Compact"/>
            </w:pPr>
            <w:r>
              <w:t xml:space="preserve">mTLS between workloads via certificate-to-IP binding; SCEP/EST enrollment before service traffic</w:t>
            </w:r>
          </w:p>
        </w:tc>
        <w:tc>
          <w:tcPr/>
          <w:p>
            <w:pPr>
              <w:pStyle w:val="Compact"/>
            </w:pPr>
            <w:r>
              <w:t xml:space="preserve">Certificate Tracker report; mTLS config</w:t>
            </w:r>
          </w:p>
        </w:tc>
        <w:tc>
          <w:tcPr/>
          <w:p>
            <w:pPr>
              <w:pStyle w:val="Compact"/>
            </w:pPr>
            <w:r>
              <w:t xml:space="preserve">SC-8, SC-8(1)</w:t>
            </w:r>
          </w:p>
        </w:tc>
      </w:tr>
      <w:tr>
        <w:tc>
          <w:tcPr/>
          <w:p>
            <w:pPr>
              <w:pStyle w:val="Compact"/>
            </w:pPr>
            <w:r>
              <w:rPr>
                <w:b/>
                <w:bCs/>
              </w:rPr>
              <w:t xml:space="preserve">CM-8</w:t>
            </w:r>
          </w:p>
        </w:tc>
        <w:tc>
          <w:tcPr/>
          <w:p>
            <w:pPr>
              <w:pStyle w:val="Compact"/>
            </w:pPr>
            <w:r>
              <w:t xml:space="preserve">Every IP host record = CM-8 inventory item; SDN connector enriches with VM name, OS, owner, cloud region</w:t>
            </w:r>
          </w:p>
        </w:tc>
        <w:tc>
          <w:tcPr/>
          <w:p>
            <w:pPr>
              <w:pStyle w:val="Compact"/>
            </w:pPr>
            <w:r>
              <w:t xml:space="preserve">IP host record export to ServiceNow CMDB</w:t>
            </w:r>
          </w:p>
        </w:tc>
        <w:tc>
          <w:tcPr/>
          <w:p>
            <w:pPr>
              <w:pStyle w:val="Compact"/>
            </w:pPr>
            <w:r>
              <w:t xml:space="preserve">CM-8, CM-8(1)</w:t>
            </w:r>
          </w:p>
        </w:tc>
      </w:tr>
      <w:tr>
        <w:tc>
          <w:tcPr/>
          <w:p>
            <w:pPr>
              <w:pStyle w:val="Compact"/>
            </w:pPr>
            <w:r>
              <w:rPr>
                <w:b/>
                <w:bCs/>
              </w:rPr>
              <w:t xml:space="preserve">CM-2</w:t>
            </w:r>
          </w:p>
        </w:tc>
        <w:tc>
          <w:tcPr/>
          <w:p>
            <w:pPr>
              <w:pStyle w:val="Compact"/>
            </w:pPr>
            <w:r>
              <w:t xml:space="preserve">IaC integration creates IP+DNS+cert records atomically and destroys them on decommission</w:t>
            </w:r>
          </w:p>
        </w:tc>
        <w:tc>
          <w:tcPr/>
          <w:p>
            <w:pPr>
              <w:pStyle w:val="Compact"/>
            </w:pPr>
            <w:r>
              <w:t xml:space="preserve">Terraform state; IP lifecycle audit log</w:t>
            </w:r>
          </w:p>
        </w:tc>
        <w:tc>
          <w:tcPr/>
          <w:p>
            <w:pPr>
              <w:pStyle w:val="Compact"/>
            </w:pPr>
            <w:r>
              <w:t xml:space="preserve">CM-2, CM-6</w:t>
            </w:r>
          </w:p>
        </w:tc>
      </w:tr>
      <w:tr>
        <w:tc>
          <w:tcPr/>
          <w:p>
            <w:pPr>
              <w:pStyle w:val="Compact"/>
            </w:pPr>
            <w:r>
              <w:rPr>
                <w:b/>
                <w:bCs/>
              </w:rPr>
              <w:t xml:space="preserve">SA-9</w:t>
            </w:r>
          </w:p>
        </w:tc>
        <w:tc>
          <w:tcPr/>
          <w:p>
            <w:pPr>
              <w:pStyle w:val="Compact"/>
            </w:pPr>
            <w:r>
              <w:t xml:space="preserve">External DNS registered as governed external services; all forwarded queries logged; OPM HRIT documented</w:t>
            </w:r>
          </w:p>
        </w:tc>
        <w:tc>
          <w:tcPr/>
          <w:p>
            <w:pPr>
              <w:pStyle w:val="Compact"/>
            </w:pPr>
            <w:r>
              <w:t xml:space="preserve">Forwarder config export; SSP SA-9 table</w:t>
            </w:r>
          </w:p>
        </w:tc>
        <w:tc>
          <w:tcPr/>
          <w:p>
            <w:pPr>
              <w:pStyle w:val="Compact"/>
            </w:pPr>
            <w:r>
              <w:t xml:space="preserve">SA-9</w:t>
            </w:r>
          </w:p>
        </w:tc>
      </w:tr>
      <w:tr>
        <w:tc>
          <w:tcPr/>
          <w:p>
            <w:pPr>
              <w:pStyle w:val="Compact"/>
            </w:pPr>
            <w:r>
              <w:rPr>
                <w:b/>
                <w:bCs/>
              </w:rPr>
              <w:t xml:space="preserve">IA-5(2)</w:t>
            </w:r>
          </w:p>
        </w:tc>
        <w:tc>
          <w:tcPr/>
          <w:p>
            <w:pPr>
              <w:pStyle w:val="Compact"/>
            </w:pPr>
            <w:r>
              <w:t xml:space="preserve">Certificate Tracker links cert thumbprint+expiry+issuer to IP host record; ADCS/Key Vault/ACM/OCI cert metadata</w:t>
            </w:r>
          </w:p>
        </w:tc>
        <w:tc>
          <w:tcPr/>
          <w:p>
            <w:pPr>
              <w:pStyle w:val="Compact"/>
            </w:pPr>
            <w:r>
              <w:t xml:space="preserve">Cert inventory report; expiry alert log</w:t>
            </w:r>
          </w:p>
        </w:tc>
        <w:tc>
          <w:tcPr/>
          <w:p>
            <w:pPr>
              <w:pStyle w:val="Compact"/>
            </w:pPr>
            <w:r>
              <w:t xml:space="preserve">IA-5(2)</w:t>
            </w:r>
          </w:p>
        </w:tc>
      </w:tr>
      <w:tr>
        <w:tc>
          <w:tcPr/>
          <w:p>
            <w:pPr>
              <w:pStyle w:val="Compact"/>
            </w:pPr>
            <w:r>
              <w:rPr>
                <w:b/>
                <w:bCs/>
              </w:rPr>
              <w:t xml:space="preserve">IA-9</w:t>
            </w:r>
          </w:p>
        </w:tc>
        <w:tc>
          <w:tcPr/>
          <w:p>
            <w:pPr>
              <w:pStyle w:val="Compact"/>
            </w:pPr>
            <w:r>
              <w:t xml:space="preserve">Every SDN workload receives a certificate via SCEP/EST automation at provisioning time</w:t>
            </w:r>
          </w:p>
        </w:tc>
        <w:tc>
          <w:tcPr/>
          <w:p>
            <w:pPr>
              <w:pStyle w:val="Compact"/>
            </w:pPr>
            <w:r>
              <w:t xml:space="preserve">SCEP enrollment log; cert-to-IP binding report</w:t>
            </w:r>
          </w:p>
        </w:tc>
        <w:tc>
          <w:tcPr/>
          <w:p>
            <w:pPr>
              <w:pStyle w:val="Compact"/>
            </w:pPr>
            <w:r>
              <w:t xml:space="preserve">IA-9</w:t>
            </w:r>
          </w:p>
        </w:tc>
      </w:tr>
      <w:tr>
        <w:tc>
          <w:tcPr/>
          <w:p>
            <w:pPr>
              <w:pStyle w:val="Compact"/>
            </w:pPr>
            <w:r>
              <w:rPr>
                <w:b/>
                <w:bCs/>
              </w:rPr>
              <w:t xml:space="preserve">AU-2</w:t>
            </w:r>
          </w:p>
        </w:tc>
        <w:tc>
          <w:tcPr/>
          <w:p>
            <w:pPr>
              <w:pStyle w:val="Compact"/>
            </w:pPr>
            <w:r>
              <w:t xml:space="preserve">DNS query events, DHCP lease events, IP allocation events, and cert enrollment events defined and logged</w:t>
            </w:r>
          </w:p>
        </w:tc>
        <w:tc>
          <w:tcPr/>
          <w:p>
            <w:pPr>
              <w:pStyle w:val="Compact"/>
            </w:pPr>
            <w:r>
              <w:t xml:space="preserve">SIEM event catalog; AU-2 event list</w:t>
            </w:r>
          </w:p>
        </w:tc>
        <w:tc>
          <w:tcPr/>
          <w:p>
            <w:pPr>
              <w:pStyle w:val="Compact"/>
            </w:pPr>
            <w:r>
              <w:t xml:space="preserve">AU-2</w:t>
            </w:r>
          </w:p>
        </w:tc>
      </w:tr>
      <w:tr>
        <w:tc>
          <w:tcPr/>
          <w:p>
            <w:pPr>
              <w:pStyle w:val="Compact"/>
            </w:pPr>
            <w:r>
              <w:rPr>
                <w:b/>
                <w:bCs/>
              </w:rPr>
              <w:t xml:space="preserve">AU-12</w:t>
            </w:r>
          </w:p>
        </w:tc>
        <w:tc>
          <w:tcPr/>
          <w:p>
            <w:pPr>
              <w:pStyle w:val="Compact"/>
            </w:pPr>
            <w:r>
              <w:t xml:space="preserve">Single syslog stream from all Grid Members across all four SDN environments; RFC 5424 format; 3-year retention</w:t>
            </w:r>
          </w:p>
        </w:tc>
        <w:tc>
          <w:tcPr/>
          <w:p>
            <w:pPr>
              <w:pStyle w:val="Compact"/>
            </w:pPr>
            <w:r>
              <w:t xml:space="preserve">SIEM dashboards; retention policy</w:t>
            </w:r>
          </w:p>
        </w:tc>
        <w:tc>
          <w:tcPr/>
          <w:p>
            <w:pPr>
              <w:pStyle w:val="Compact"/>
            </w:pPr>
            <w:r>
              <w:t xml:space="preserve">AU-12</w:t>
            </w:r>
          </w:p>
        </w:tc>
      </w:tr>
      <w:tr>
        <w:tc>
          <w:tcPr/>
          <w:p>
            <w:pPr>
              <w:pStyle w:val="Compact"/>
            </w:pPr>
            <w:r>
              <w:rPr>
                <w:b/>
                <w:bCs/>
              </w:rPr>
              <w:t xml:space="preserve">IR-4</w:t>
            </w:r>
          </w:p>
        </w:tc>
        <w:tc>
          <w:tcPr/>
          <w:p>
            <w:pPr>
              <w:pStyle w:val="Compact"/>
            </w:pPr>
            <w:r>
              <w:t xml:space="preserve">RPZ block events auto-generate SIEM IR tickets; DNSSEC failure triggers SOC alerts; DNS exfil detection</w:t>
            </w:r>
          </w:p>
        </w:tc>
        <w:tc>
          <w:tcPr/>
          <w:p>
            <w:pPr>
              <w:pStyle w:val="Compact"/>
            </w:pPr>
            <w:r>
              <w:t xml:space="preserve">IR playbook; RPZ alert→ticket pipeline</w:t>
            </w:r>
          </w:p>
        </w:tc>
        <w:tc>
          <w:tcPr/>
          <w:p>
            <w:pPr>
              <w:pStyle w:val="Compact"/>
            </w:pPr>
            <w:r>
              <w:t xml:space="preserve">IR-4, IR-5</w:t>
            </w:r>
          </w:p>
        </w:tc>
      </w:tr>
      <w:tr>
        <w:tc>
          <w:tcPr/>
          <w:p>
            <w:pPr>
              <w:pStyle w:val="Compact"/>
            </w:pPr>
            <w:r>
              <w:rPr>
                <w:b/>
                <w:bCs/>
              </w:rPr>
              <w:t xml:space="preserve">SI-3</w:t>
            </w:r>
          </w:p>
        </w:tc>
        <w:tc>
          <w:tcPr/>
          <w:p>
            <w:pPr>
              <w:pStyle w:val="Compact"/>
            </w:pPr>
            <w:r>
              <w:t xml:space="preserve">DNS-layer malware blocking via RPZ prevents resolution of C2 domains, ransomware, phishing</w:t>
            </w:r>
          </w:p>
        </w:tc>
        <w:tc>
          <w:tcPr/>
          <w:p>
            <w:pPr>
              <w:pStyle w:val="Compact"/>
            </w:pPr>
            <w:r>
              <w:t xml:space="preserve">RPZ block count by threat category</w:t>
            </w:r>
          </w:p>
        </w:tc>
        <w:tc>
          <w:tcPr/>
          <w:p>
            <w:pPr>
              <w:pStyle w:val="Compact"/>
            </w:pPr>
            <w:r>
              <w:t xml:space="preserve">SI-3, SI-3(1)</w:t>
            </w:r>
          </w:p>
        </w:tc>
      </w:tr>
      <w:tr>
        <w:tc>
          <w:tcPr/>
          <w:p>
            <w:pPr>
              <w:pStyle w:val="Compact"/>
            </w:pPr>
            <w:r>
              <w:rPr>
                <w:b/>
                <w:bCs/>
              </w:rPr>
              <w:t xml:space="preserve">PL-8</w:t>
            </w:r>
          </w:p>
        </w:tc>
        <w:tc>
          <w:tcPr/>
          <w:p>
            <w:pPr>
              <w:pStyle w:val="Compact"/>
            </w:pPr>
            <w:r>
              <w:t xml:space="preserve">Unified DDI architecture in SSP; InfoBlox FedRAMP ATO cited as inherited control for DDI layer</w:t>
            </w:r>
          </w:p>
        </w:tc>
        <w:tc>
          <w:tcPr/>
          <w:p>
            <w:pPr>
              <w:pStyle w:val="Compact"/>
            </w:pPr>
            <w:r>
              <w:t xml:space="preserve">SSP Section 13 architecture narrative</w:t>
            </w:r>
          </w:p>
        </w:tc>
        <w:tc>
          <w:tcPr/>
          <w:p>
            <w:pPr>
              <w:pStyle w:val="Compact"/>
            </w:pPr>
            <w:r>
              <w:t xml:space="preserve">PL-8</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SC-20 / SC-21 / SC-22 (authoritative DNS).</w:t>
            </w:r>
            <w:r>
              <w:t xml:space="preserve"> </w:t>
            </w:r>
            <w:r>
              <w:t xml:space="preserve">SC-20 requires the system to</w:t>
            </w:r>
            <w:r>
              <w:t xml:space="preserve"> </w:t>
            </w:r>
            <w:r>
              <w:rPr>
                <w:i/>
                <w:iCs/>
              </w:rPr>
              <w:t xml:space="preserve">provide</w:t>
            </w:r>
            <w:r>
              <w:t xml:space="preserve"> </w:t>
            </w:r>
            <w:r>
              <w:t xml:space="preserve">origin authentication and integrity verification artifacts with authoritative name resolution responses; SC-21 requires requesting systems to</w:t>
            </w:r>
            <w:r>
              <w:t xml:space="preserve"> </w:t>
            </w:r>
            <w:r>
              <w:rPr>
                <w:i/>
                <w:iCs/>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
                <w:iCs/>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tc>
      </w:tr>
    </w:tbl>
    <w:p>
      <w:r>
        <w:pict>
          <v:rect style="width:0;height:1.5pt" o:hralign="center" o:hrstd="t" o:hr="t"/>
        </w:pict>
      </w:r>
    </w:p>
    <w:bookmarkEnd w:id="116"/>
    <w:bookmarkStart w:id="124" w:name="sec-ztmm"/>
    <w:p>
      <w:pPr>
        <w:pStyle w:val="Heading2"/>
      </w:pPr>
      <w:r>
        <w:t xml:space="preserve">8 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18" name="Picture"/>
            <a:graphic>
              <a:graphicData uri="http://schemas.openxmlformats.org/drawingml/2006/picture">
                <pic:pic>
                  <pic:nvPicPr>
                    <pic:cNvPr descr="figs/lz-fig-11-zt-staircase.png" id="119" name="Picture"/>
                    <pic:cNvPicPr>
                      <a:picLocks noChangeArrowheads="1" noChangeAspect="1"/>
                    </pic:cNvPicPr>
                  </pic:nvPicPr>
                  <pic:blipFill>
                    <a:blip r:embed="rId11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20" w:name="sec-zt-networks"/>
    <w:p>
      <w:pPr>
        <w:pStyle w:val="Heading3"/>
      </w:pPr>
      <w:r>
        <w:t xml:space="preserve">8.1 Networks Pillar (Deepest Alignment)</w:t>
      </w:r>
    </w:p>
    <w:p>
      <w:pPr>
        <w:pStyle w:val="TableCaption"/>
      </w:pPr>
      <w:r>
        <w:t xml:space="preserve">CISA Zero Trust Networks Pillar Alignment</w:t>
      </w:r>
    </w:p>
    <w:tbl>
      <w:tblPr>
        <w:tblStyle w:val="Table"/>
        <w:tblW w:type="pct" w:w="5000"/>
        <w:tblLayout w:type="fixed"/>
        <w:tblLook w:firstRow="1" w:lastRow="0" w:firstColumn="0" w:lastColumn="0" w:noHBand="0" w:noVBand="0" w:val="0020"/>
        <w:tblCaption w:val="CISA Zero Trust Networks Pillar Alignment"/>
      </w:tblPr>
      <w:tblGrid>
        <w:gridCol w:w="2640"/>
        <w:gridCol w:w="2640"/>
        <w:gridCol w:w="2640"/>
      </w:tblGrid>
      <w:tr>
        <w:trPr>
          <w:tblHeader w:val="on"/>
        </w:trPr>
        <w:tc>
          <w:tcPr/>
          <w:p>
            <w:pPr>
              <w:pStyle w:val="Compact"/>
            </w:pPr>
            <w:r>
              <w:t xml:space="preserve">CISA ZT Network Requirement</w:t>
            </w:r>
          </w:p>
        </w:tc>
        <w:tc>
          <w:tcPr/>
          <w:p>
            <w:pPr>
              <w:pStyle w:val="Compact"/>
            </w:pPr>
            <w:r>
              <w:t xml:space="preserve">InfoBlox DDI Implementation</w:t>
            </w:r>
          </w:p>
        </w:tc>
        <w:tc>
          <w:tcPr/>
          <w:p>
            <w:pPr>
              <w:pStyle w:val="Compact"/>
            </w:pPr>
            <w:r>
              <w:t xml:space="preserve">ZT Maturity Level</w:t>
            </w:r>
          </w:p>
        </w:tc>
      </w:tr>
      <w:tr>
        <w:tc>
          <w:tcPr/>
          <w:p>
            <w:pPr>
              <w:pStyle w:val="Compact"/>
            </w:pPr>
            <w:r>
              <w:t xml:space="preserve">Encrypt DNS traffic (DoH/DoT)</w:t>
            </w:r>
          </w:p>
        </w:tc>
        <w:tc>
          <w:tcPr/>
          <w:p>
            <w:pPr>
              <w:pStyle w:val="Compact"/>
            </w:pPr>
            <w:r>
              <w:t xml:space="preserve">Grid Members support DoH/DoT for client queries; DNSSEC validates response integrity end-to-end</w:t>
            </w:r>
          </w:p>
        </w:tc>
        <w:tc>
          <w:tcPr/>
          <w:p>
            <w:pPr>
              <w:pStyle w:val="Compact"/>
            </w:pPr>
            <w:r>
              <w:t xml:space="preserve">Advanced → Optimal</w:t>
            </w:r>
          </w:p>
        </w:tc>
      </w:tr>
      <w:tr>
        <w:tc>
          <w:tcPr/>
          <w:p>
            <w:pPr>
              <w:pStyle w:val="Compact"/>
            </w:pPr>
            <w:r>
              <w:t xml:space="preserve">Implement Protective DNS</w:t>
            </w:r>
          </w:p>
        </w:tc>
        <w:tc>
          <w:tcPr/>
          <w:p>
            <w:pPr>
              <w:pStyle w:val="Compact"/>
            </w:pPr>
            <w:r>
              <w:t xml:space="preserve">RPZ with CISA Protective DNS feed + TIDE commercial threat intel; blocks C2, phishing, DNS tunneling across all SDN environments</w:t>
            </w:r>
          </w:p>
        </w:tc>
        <w:tc>
          <w:tcPr/>
          <w:p>
            <w:pPr>
              <w:pStyle w:val="Compact"/>
            </w:pPr>
            <w:r>
              <w:t xml:space="preserve">Initial → Advanced</w:t>
            </w:r>
          </w:p>
        </w:tc>
      </w:tr>
      <w:tr>
        <w:tc>
          <w:tcPr/>
          <w:p>
            <w:pPr>
              <w:pStyle w:val="Compact"/>
            </w:pPr>
            <w:r>
              <w:t xml:space="preserve">DNS visibility for all workloads</w:t>
            </w:r>
          </w:p>
        </w:tc>
        <w:tc>
          <w:tcPr/>
          <w:p>
            <w:pPr>
              <w:pStyle w:val="Compact"/>
            </w:pPr>
            <w:r>
              <w:t xml:space="preserve">Unified syslog from all Grid Members; every DNS query logged with client IP, query name, response, latency</w:t>
            </w:r>
          </w:p>
        </w:tc>
        <w:tc>
          <w:tcPr/>
          <w:p>
            <w:pPr>
              <w:pStyle w:val="Compact"/>
            </w:pPr>
            <w:r>
              <w:t xml:space="preserve">Initial → Advanced</w:t>
            </w:r>
          </w:p>
        </w:tc>
      </w:tr>
      <w:tr>
        <w:tc>
          <w:tcPr/>
          <w:p>
            <w:pPr>
              <w:pStyle w:val="Compact"/>
            </w:pPr>
            <w:r>
              <w:t xml:space="preserve">IPAM as segmentation enforcement</w:t>
            </w:r>
          </w:p>
        </w:tc>
        <w:tc>
          <w:tcPr/>
          <w:p>
            <w:pPr>
              <w:pStyle w:val="Compact"/>
            </w:pPr>
            <w:r>
              <w:t xml:space="preserve">Network Views enforce CIDR segregation; IaC cannot allocate overlapping CIDRs; segment-level records map to NSX-T security groups and Azure NSGs</w:t>
            </w:r>
          </w:p>
        </w:tc>
        <w:tc>
          <w:tcPr/>
          <w:p>
            <w:pPr>
              <w:pStyle w:val="Compact"/>
            </w:pPr>
            <w:r>
              <w:t xml:space="preserve">Advanced</w:t>
            </w:r>
          </w:p>
        </w:tc>
      </w:tr>
      <w:tr>
        <w:tc>
          <w:tcPr/>
          <w:p>
            <w:pPr>
              <w:pStyle w:val="Compact"/>
            </w:pPr>
            <w:r>
              <w:t xml:space="preserve">SDN micro-segmentation integration</w:t>
            </w:r>
          </w:p>
        </w:tc>
        <w:tc>
          <w:tcPr/>
          <w:p>
            <w:pPr>
              <w:pStyle w:val="Compact"/>
            </w:pPr>
            <w:r>
              <w:t xml:space="preserve">NSX-T security groups can reference InfoBlox IPAM tags (workload classification, owner) as dynamic membership criteria</w:t>
            </w:r>
          </w:p>
        </w:tc>
        <w:tc>
          <w:tcPr/>
          <w:p>
            <w:pPr>
              <w:pStyle w:val="Compact"/>
            </w:pPr>
            <w:r>
              <w:t xml:space="preserve">Advanced → Optimal</w:t>
            </w:r>
          </w:p>
        </w:tc>
      </w:tr>
      <w:tr>
        <w:tc>
          <w:tcPr/>
          <w:p>
            <w:pPr>
              <w:pStyle w:val="Compact"/>
            </w:pPr>
            <w:r>
              <w:t xml:space="preserve">Certificate-based network authentication</w:t>
            </w:r>
          </w:p>
        </w:tc>
        <w:tc>
          <w:tcPr/>
          <w:p>
            <w:pPr>
              <w:pStyle w:val="Compact"/>
            </w:pPr>
            <w:r>
              <w:t xml:space="preserve">Certificate Tracker ensures every IP host record has a bound certificate; IP reputation replaced by certificate identity</w:t>
            </w:r>
          </w:p>
        </w:tc>
        <w:tc>
          <w:tcPr/>
          <w:p>
            <w:pPr>
              <w:pStyle w:val="Compact"/>
            </w:pPr>
            <w:r>
              <w:t xml:space="preserve">Advanced → Optimal</w:t>
            </w:r>
          </w:p>
        </w:tc>
      </w:tr>
    </w:tbl>
    <w:bookmarkEnd w:id="120"/>
    <w:bookmarkStart w:id="121" w:name="sec-zt-identity"/>
    <w:p>
      <w:pPr>
        <w:pStyle w:val="Heading3"/>
      </w:pPr>
      <w:r>
        <w:t xml:space="preserve">8.2 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pStyle w:val="Compact"/>
        <w:numPr>
          <w:ilvl w:val="0"/>
          <w:numId w:val="1009"/>
        </w:numPr>
      </w:pPr>
      <w:r>
        <w:t xml:space="preserve">SCEP/EST automation issues certificates to every new workload at provisioning time, establishing machine identity before the first connection</w:t>
      </w:r>
    </w:p>
    <w:p>
      <w:pPr>
        <w:pStyle w:val="Compact"/>
        <w:numPr>
          <w:ilvl w:val="0"/>
          <w:numId w:val="1009"/>
        </w:numPr>
      </w:pPr>
      <w:r>
        <w:t xml:space="preserve">Certificate-to-IP binding enables network devices to verify workload identity from the DNS/IPAM layer without agent deployment</w:t>
      </w:r>
    </w:p>
    <w:p>
      <w:pPr>
        <w:pStyle w:val="Compact"/>
        <w:numPr>
          <w:ilvl w:val="0"/>
          <w:numId w:val="1009"/>
        </w:numPr>
      </w:pPr>
      <w:r>
        <w:t xml:space="preserve">Certificate expiry alerting prevents identity credential expiration — a common cause of authentication outages</w:t>
      </w:r>
    </w:p>
    <w:bookmarkEnd w:id="121"/>
    <w:bookmarkStart w:id="122" w:name="sec-zt-visibility"/>
    <w:p>
      <w:pPr>
        <w:pStyle w:val="Heading3"/>
      </w:pPr>
      <w:r>
        <w:t xml:space="preserve">8.3 Cross-Cutting: Visibility and Analytics</w:t>
      </w:r>
    </w:p>
    <w:p>
      <w:pPr>
        <w:pStyle w:val="FirstParagraph"/>
      </w:pPr>
      <w:r>
        <w:t xml:space="preserve">InfoBlox contributes three telemetry streams to CISA’s Visibility and Analytics capability:</w:t>
      </w:r>
    </w:p>
    <w:p>
      <w:pPr>
        <w:pStyle w:val="Compact"/>
        <w:numPr>
          <w:ilvl w:val="0"/>
          <w:numId w:val="1010"/>
        </w:numPr>
      </w:pPr>
      <w:r>
        <w:rPr>
          <w:b/>
          <w:bCs/>
        </w:rPr>
        <w:t xml:space="preserve">DNS query telemetry:</w:t>
      </w:r>
      <w:r>
        <w:t xml:space="preserve"> </w:t>
      </w:r>
      <w:r>
        <w:t xml:space="preserve">every DNS resolution event from every SDN workload, with client IP, query type, response, latency, and RPZ action</w:t>
      </w:r>
    </w:p>
    <w:p>
      <w:pPr>
        <w:pStyle w:val="Compact"/>
        <w:numPr>
          <w:ilvl w:val="0"/>
          <w:numId w:val="1010"/>
        </w:numPr>
      </w:pPr>
      <w:r>
        <w:rPr>
          <w:b/>
          <w:bCs/>
        </w:rPr>
        <w:t xml:space="preserve">DHCP/IP event telemetry:</w:t>
      </w:r>
      <w:r>
        <w:t xml:space="preserve"> </w:t>
      </w:r>
      <w:r>
        <w:t xml:space="preserve">every IP allocation, renewal, and release with device metadata</w:t>
      </w:r>
    </w:p>
    <w:p>
      <w:pPr>
        <w:pStyle w:val="Compact"/>
        <w:numPr>
          <w:ilvl w:val="0"/>
          <w:numId w:val="1010"/>
        </w:numPr>
      </w:pPr>
      <w:r>
        <w:rPr>
          <w:b/>
          <w:bCs/>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22"/>
    <w:bookmarkStart w:id="123" w:name="sec-zt-automation"/>
    <w:p>
      <w:pPr>
        <w:pStyle w:val="Heading3"/>
      </w:pPr>
      <w:r>
        <w:t xml:space="preserve">8.4 Cross-Cutting: Automation and Orchestration</w:t>
      </w:r>
    </w:p>
    <w:p>
      <w:pPr>
        <w:pStyle w:val="FirstParagraph"/>
      </w:pPr>
      <w:r>
        <w:t xml:space="preserve">InfoBlox’s IaC integrations directly enable the CISA Automation and Orchestration capability:</w:t>
      </w:r>
    </w:p>
    <w:p>
      <w:pPr>
        <w:pStyle w:val="Compact"/>
        <w:numPr>
          <w:ilvl w:val="0"/>
          <w:numId w:val="1011"/>
        </w:numPr>
      </w:pPr>
      <w:r>
        <w:t xml:space="preserve">Network resource provisioning (IP, DNS, cert) is automated in IaC pipelines — no manual steps that bypass policy</w:t>
      </w:r>
    </w:p>
    <w:p>
      <w:pPr>
        <w:pStyle w:val="Compact"/>
        <w:numPr>
          <w:ilvl w:val="0"/>
          <w:numId w:val="1011"/>
        </w:numPr>
      </w:pPr>
      <w:r>
        <w:t xml:space="preserve">VCF 9.1 native InfoBlox integration automates DDI for VMware workloads from day one</w:t>
      </w:r>
    </w:p>
    <w:p>
      <w:pPr>
        <w:pStyle w:val="Compact"/>
        <w:numPr>
          <w:ilvl w:val="0"/>
          <w:numId w:val="1011"/>
        </w:numPr>
      </w:pPr>
      <w:r>
        <w:t xml:space="preserve">RPZ updates are automated from threat intelligence feeds — human review required only for false positive exceptions</w:t>
      </w:r>
    </w:p>
    <w:p>
      <w:r>
        <w:pict>
          <v:rect style="width:0;height:1.5pt" o:hralign="center" o:hrstd="t" o:hr="t"/>
        </w:pict>
      </w:r>
    </w:p>
    <w:bookmarkEnd w:id="123"/>
    <w:bookmarkEnd w:id="124"/>
    <w:bookmarkStart w:id="133" w:name="sec-boundary"/>
    <w:p>
      <w:pPr>
        <w:pStyle w:val="Heading2"/>
      </w:pPr>
      <w:r>
        <w:t xml:space="preserve">9 FedRAMP Boundary Enforcement</w:t>
      </w:r>
    </w:p>
    <w:p>
      <w:pPr>
        <w:pStyle w:val="CaptionedFigure"/>
      </w:pPr>
      <w:r>
        <w:drawing>
          <wp:inline>
            <wp:extent cx="5334000" cy="2963333"/>
            <wp:effectExtent b="0" l="0" r="0" t="0"/>
            <wp:docPr descr="InfoBlox RPZ: The DNS-Layer FedRAMP Boundary Gate" title="" id="126" name="Picture"/>
            <a:graphic>
              <a:graphicData uri="http://schemas.openxmlformats.org/drawingml/2006/picture">
                <pic:pic>
                  <pic:nvPicPr>
                    <pic:cNvPr descr="figs/lz-fig-15-rpz-gate.png" id="127" name="Picture"/>
                    <pic:cNvPicPr>
                      <a:picLocks noChangeArrowheads="1" noChangeAspect="1"/>
                    </pic:cNvPicPr>
                  </pic:nvPicPr>
                  <pic:blipFill>
                    <a:blip r:embed="rId12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29" name="Picture"/>
            <a:graphic>
              <a:graphicData uri="http://schemas.openxmlformats.org/drawingml/2006/picture">
                <pic:pic>
                  <pic:nvPicPr>
                    <pic:cNvPr descr="figs/lz-fig-05-boundary.png" id="130" name="Picture"/>
                    <pic:cNvPicPr>
                      <a:picLocks noChangeArrowheads="1" noChangeAspect="1"/>
                    </pic:cNvPicPr>
                  </pic:nvPicPr>
                  <pic:blipFill>
                    <a:blip r:embed="rId128"/>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
          <w:bCs/>
        </w:rPr>
        <w:t xml:space="preserve">Layer 1 — IP Inventory = Boundary Definition.</w:t>
      </w:r>
      <w:r>
        <w:t xml:space="preserve"> </w:t>
      </w:r>
      <w:r>
        <w:t xml:space="preserve">The FedRAMP authorization boundary is defined by IP address ranges. InfoBlox IPAM</w:t>
      </w:r>
      <w:r>
        <w:t xml:space="preserve"> </w:t>
      </w:r>
      <w:r>
        <w:rPr>
          <w:i/>
          <w:iCs/>
        </w:rPr>
        <w:t xml:space="preserve">is</w:t>
      </w:r>
      <w:r>
        <w:t xml:space="preserve"> </w:t>
      </w:r>
      <w:r>
        <w:t xml:space="preserve">the authoritative record of every IP inside the boundary. The CM-8 IP inventory export</w:t>
      </w:r>
      <w:r>
        <w:t xml:space="preserve"> </w:t>
      </w:r>
      <w:r>
        <w:rPr>
          <w:i/>
          <w:iCs/>
        </w:rPr>
        <w:t xml:space="preserve">is</w:t>
      </w:r>
      <w:r>
        <w:t xml:space="preserve"> </w:t>
      </w:r>
      <w:r>
        <w:t xml:space="preserve">the boundary IP list — no separate reconciliation required.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opt/quarto/share/formats/docx/important.png" id="1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
                <w:iCs/>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92">
              <w:r>
                <w:rPr>
                  <w:rStyle w:val="Hyperlink"/>
                </w:rPr>
                <w:t xml:space="preserve">Book 02</w:t>
              </w:r>
            </w:hyperlink>
            <w:r>
              <w:t xml:space="preserve">.</w:t>
            </w:r>
          </w:p>
          <w:p/>
        </w:tc>
      </w:tr>
    </w:tbl>
    <w:p>
      <w:pPr>
        <w:pStyle w:val="BodyText"/>
      </w:pPr>
      <w:r>
        <w:rPr>
          <w:b/>
          <w:bCs/>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pStyle w:val="Compact"/>
        <w:numPr>
          <w:ilvl w:val="0"/>
          <w:numId w:val="1012"/>
        </w:numPr>
      </w:pPr>
      <w:r>
        <w:t xml:space="preserve">RPZ blocks commercial M365 endpoints (prevents FedRAMP data reaching non-GCC Microsoft infrastructure)</w:t>
      </w:r>
    </w:p>
    <w:p>
      <w:pPr>
        <w:pStyle w:val="Compact"/>
        <w:numPr>
          <w:ilvl w:val="0"/>
          <w:numId w:val="1012"/>
        </w:numPr>
      </w:pPr>
      <w:r>
        <w:t xml:space="preserve">RPZ blocks non-FedRAMP SaaS FQDNs (prevents workloads from reaching unauthorized cloud services)</w:t>
      </w:r>
    </w:p>
    <w:p>
      <w:pPr>
        <w:pStyle w:val="Compact"/>
        <w:numPr>
          <w:ilvl w:val="0"/>
          <w:numId w:val="1012"/>
        </w:numPr>
      </w:pPr>
      <w:r>
        <w:t xml:space="preserve">Conditional forwarders for external services generate the SA-9 documentation automatically</w:t>
      </w:r>
    </w:p>
    <w:p>
      <w:pPr>
        <w:pStyle w:val="Compact"/>
        <w:numPr>
          <w:ilvl w:val="0"/>
          <w:numId w:val="1012"/>
        </w:numPr>
      </w:pPr>
      <w:r>
        <w:t xml:space="preserve">DNSSEC validation required — DNS spoofing that could redirect traffic outside the boundary is rejected</w:t>
      </w:r>
    </w:p>
    <w:p>
      <w:pPr>
        <w:pStyle w:val="Compact"/>
        <w:numPr>
          <w:ilvl w:val="0"/>
          <w:numId w:val="1012"/>
        </w:numPr>
      </w:pPr>
      <w:r>
        <w:t xml:space="preserve">Query logging for all workloads — AU-12 evidence: every external communication visible in DNS logs</w:t>
      </w:r>
    </w:p>
    <w:p>
      <w:pPr>
        <w:pStyle w:val="FirstParagraph"/>
      </w:pPr>
      <w:r>
        <w:rPr>
          <w:b/>
          <w:bCs/>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33"/>
    <w:bookmarkStart w:id="138" w:name="sec-fedramp"/>
    <w:p>
      <w:pPr>
        <w:pStyle w:val="Heading2"/>
      </w:pPr>
      <w:r>
        <w:t xml:space="preserve">10 FedRAMP Moderate and FedRAMP 20x Controls</w:t>
      </w:r>
    </w:p>
    <w:bookmarkStart w:id="134" w:name="sec-fedramp-moderate"/>
    <w:p>
      <w:pPr>
        <w:pStyle w:val="Heading3"/>
      </w:pPr>
      <w:r>
        <w:t xml:space="preserve">10.1 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w:t>
      </w:r>
    </w:p>
    <w:tbl>
      <w:tblPr>
        <w:tblStyle w:val="Table"/>
        <w:tblW w:type="pct" w:w="5000"/>
        <w:tblLayout w:type="fixed"/>
        <w:tblLook w:firstRow="1" w:lastRow="0" w:firstColumn="0" w:lastColumn="0" w:noHBand="0" w:noVBand="0" w:val="0020"/>
        <w:tblCaption w:val="FedRAMP Moderate Evidence Package"/>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Evidence Source</w:t>
            </w:r>
          </w:p>
        </w:tc>
        <w:tc>
          <w:tcPr/>
          <w:p>
            <w:pPr>
              <w:pStyle w:val="Compact"/>
            </w:pPr>
            <w:r>
              <w:t xml:space="preserve">Format</w:t>
            </w:r>
          </w:p>
        </w:tc>
        <w:tc>
          <w:tcPr/>
          <w:p>
            <w:pPr>
              <w:pStyle w:val="Compact"/>
            </w:pPr>
            <w:r>
              <w:t xml:space="preserve">Collection</w:t>
            </w:r>
          </w:p>
        </w:tc>
      </w:tr>
      <w:tr>
        <w:tc>
          <w:tcPr/>
          <w:p>
            <w:pPr>
              <w:pStyle w:val="Compact"/>
            </w:pPr>
            <w:r>
              <w:t xml:space="preserve">SC-20 / SC-21</w:t>
            </w:r>
          </w:p>
        </w:tc>
        <w:tc>
          <w:tcPr/>
          <w:p>
            <w:pPr>
              <w:pStyle w:val="Compact"/>
            </w:pPr>
            <w:r>
              <w:t xml:space="preserve">InfoBlox DNSSEC key rotation log; RPZ hit log</w:t>
            </w:r>
          </w:p>
        </w:tc>
        <w:tc>
          <w:tcPr/>
          <w:p>
            <w:pPr>
              <w:pStyle w:val="Compact"/>
            </w:pPr>
            <w:r>
              <w:t xml:space="preserve">Grid audit log export</w:t>
            </w:r>
          </w:p>
        </w:tc>
        <w:tc>
          <w:tcPr/>
          <w:p>
            <w:pPr>
              <w:pStyle w:val="Compact"/>
            </w:pPr>
            <w:r>
              <w:t xml:space="preserve">Automated</w:t>
            </w:r>
          </w:p>
        </w:tc>
      </w:tr>
      <w:tr>
        <w:tc>
          <w:tcPr/>
          <w:p>
            <w:pPr>
              <w:pStyle w:val="Compact"/>
            </w:pPr>
            <w:r>
              <w:t xml:space="preserve">CM-8</w:t>
            </w:r>
          </w:p>
        </w:tc>
        <w:tc>
          <w:tcPr/>
          <w:p>
            <w:pPr>
              <w:pStyle w:val="Compact"/>
            </w:pPr>
            <w:r>
              <w:t xml:space="preserve">InfoBlox IP host record database</w:t>
            </w:r>
          </w:p>
        </w:tc>
        <w:tc>
          <w:tcPr/>
          <w:p>
            <w:pPr>
              <w:pStyle w:val="Compact"/>
            </w:pPr>
            <w:r>
              <w:t xml:space="preserve">CSV / ServiceNow CMDB sync</w:t>
            </w:r>
          </w:p>
        </w:tc>
        <w:tc>
          <w:tcPr/>
          <w:p>
            <w:pPr>
              <w:pStyle w:val="Compact"/>
            </w:pPr>
            <w:r>
              <w:t xml:space="preserve">API export on demand</w:t>
            </w:r>
          </w:p>
        </w:tc>
      </w:tr>
      <w:tr>
        <w:tc>
          <w:tcPr/>
          <w:p>
            <w:pPr>
              <w:pStyle w:val="Compact"/>
            </w:pPr>
            <w:r>
              <w:t xml:space="preserve">IA-5(2)</w:t>
            </w:r>
          </w:p>
        </w:tc>
        <w:tc>
          <w:tcPr/>
          <w:p>
            <w:pPr>
              <w:pStyle w:val="Compact"/>
            </w:pPr>
            <w:r>
              <w:t xml:space="preserve">InfoBlox Certificate Tracker</w:t>
            </w:r>
          </w:p>
        </w:tc>
        <w:tc>
          <w:tcPr/>
          <w:p>
            <w:pPr>
              <w:pStyle w:val="Compact"/>
            </w:pPr>
            <w:r>
              <w:t xml:space="preserve">Certificate inventory report</w:t>
            </w:r>
          </w:p>
        </w:tc>
        <w:tc>
          <w:tcPr/>
          <w:p>
            <w:pPr>
              <w:pStyle w:val="Compact"/>
            </w:pPr>
            <w:r>
              <w:t xml:space="preserve">API export on demand</w:t>
            </w:r>
          </w:p>
        </w:tc>
      </w:tr>
      <w:tr>
        <w:tc>
          <w:tcPr/>
          <w:p>
            <w:pPr>
              <w:pStyle w:val="Compact"/>
            </w:pPr>
            <w:r>
              <w:t xml:space="preserve">AU-2 / AU-12</w:t>
            </w:r>
          </w:p>
        </w:tc>
        <w:tc>
          <w:tcPr/>
          <w:p>
            <w:pPr>
              <w:pStyle w:val="Compact"/>
            </w:pPr>
            <w:r>
              <w:t xml:space="preserve">SIEM fed by InfoBlox syslog stream</w:t>
            </w:r>
          </w:p>
        </w:tc>
        <w:tc>
          <w:tcPr/>
          <w:p>
            <w:pPr>
              <w:pStyle w:val="Compact"/>
            </w:pPr>
            <w:r>
              <w:t xml:space="preserve">SIEM query results</w:t>
            </w:r>
          </w:p>
        </w:tc>
        <w:tc>
          <w:tcPr/>
          <w:p>
            <w:pPr>
              <w:pStyle w:val="Compact"/>
            </w:pPr>
            <w:r>
              <w:t xml:space="preserve">Pre-built SIEM dashboards</w:t>
            </w:r>
          </w:p>
        </w:tc>
      </w:tr>
      <w:tr>
        <w:tc>
          <w:tcPr/>
          <w:p>
            <w:pPr>
              <w:pStyle w:val="Compact"/>
            </w:pPr>
            <w:r>
              <w:t xml:space="preserve">IR-4</w:t>
            </w:r>
          </w:p>
        </w:tc>
        <w:tc>
          <w:tcPr/>
          <w:p>
            <w:pPr>
              <w:pStyle w:val="Compact"/>
            </w:pPr>
            <w:r>
              <w:t xml:space="preserve">SIEM IR playbook execution logs; RPZ alert ticket history</w:t>
            </w:r>
          </w:p>
        </w:tc>
        <w:tc>
          <w:tcPr/>
          <w:p>
            <w:pPr>
              <w:pStyle w:val="Compact"/>
            </w:pPr>
            <w:r>
              <w:t xml:space="preserve">ServiceNow tickets</w:t>
            </w:r>
          </w:p>
        </w:tc>
        <w:tc>
          <w:tcPr/>
          <w:p>
            <w:pPr>
              <w:pStyle w:val="Compact"/>
            </w:pPr>
            <w:r>
              <w:t xml:space="preserve">ITSM integration</w:t>
            </w:r>
          </w:p>
        </w:tc>
      </w:tr>
      <w:tr>
        <w:tc>
          <w:tcPr/>
          <w:p>
            <w:pPr>
              <w:pStyle w:val="Compact"/>
            </w:pPr>
            <w:r>
              <w:t xml:space="preserve">SA-9</w:t>
            </w:r>
          </w:p>
        </w:tc>
        <w:tc>
          <w:tcPr/>
          <w:p>
            <w:pPr>
              <w:pStyle w:val="Compact"/>
            </w:pPr>
            <w:r>
              <w:t xml:space="preserve">InfoBlox External DNS Server config; SSP SA-9 table</w:t>
            </w:r>
          </w:p>
        </w:tc>
        <w:tc>
          <w:tcPr/>
          <w:p>
            <w:pPr>
              <w:pStyle w:val="Compact"/>
            </w:pPr>
            <w:r>
              <w:t xml:space="preserve">InfoBlox config export</w:t>
            </w:r>
          </w:p>
        </w:tc>
        <w:tc>
          <w:tcPr/>
          <w:p>
            <w:pPr>
              <w:pStyle w:val="Compact"/>
            </w:pPr>
            <w:r>
              <w:t xml:space="preserve">Grid config snapshot</w:t>
            </w:r>
          </w:p>
        </w:tc>
      </w:tr>
      <w:tr>
        <w:tc>
          <w:tcPr/>
          <w:p>
            <w:pPr>
              <w:pStyle w:val="Compact"/>
            </w:pPr>
            <w:r>
              <w:t xml:space="preserve">SC-22</w:t>
            </w:r>
          </w:p>
        </w:tc>
        <w:tc>
          <w:tcPr/>
          <w:p>
            <w:pPr>
              <w:pStyle w:val="Compact"/>
            </w:pPr>
            <w:r>
              <w:t xml:space="preserve">InfoBlox Network Insight topology report</w:t>
            </w:r>
          </w:p>
        </w:tc>
        <w:tc>
          <w:tcPr/>
          <w:p>
            <w:pPr>
              <w:pStyle w:val="Compact"/>
            </w:pPr>
            <w:r>
              <w:t xml:space="preserve">PDF / JSON topology export</w:t>
            </w:r>
          </w:p>
        </w:tc>
        <w:tc>
          <w:tcPr/>
          <w:p>
            <w:pPr>
              <w:pStyle w:val="Compact"/>
            </w:pPr>
            <w:r>
              <w:t xml:space="preserve">Network Insight scheduler</w:t>
            </w:r>
          </w:p>
        </w:tc>
      </w:tr>
    </w:tbl>
    <w:bookmarkEnd w:id="134"/>
    <w:bookmarkStart w:id="137" w:name="sec-fedramp-20x"/>
    <w:p>
      <w:pPr>
        <w:pStyle w:val="Heading3"/>
      </w:pPr>
      <w:r>
        <w:t xml:space="preserve">10.2 FedRAMP 20x: Automated KSI Enforcement</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
          <w:bCs/>
        </w:rPr>
        <w:t xml:space="preserve">Class A</w:t>
      </w:r>
      <w:r>
        <w:t xml:space="preserve"> </w:t>
      </w:r>
      <w:r>
        <w:t xml:space="preserve">(simplest CSPs, opens August 3, 2026),</w:t>
      </w:r>
      <w:r>
        <w:t xml:space="preserve"> </w:t>
      </w:r>
      <w:r>
        <w:rPr>
          <w:b/>
          <w:bCs/>
        </w:rPr>
        <w:t xml:space="preserve">Class B</w:t>
      </w:r>
      <w:r>
        <w:t xml:space="preserve"> </w:t>
      </w:r>
      <w:r>
        <w:t xml:space="preserve">and</w:t>
      </w:r>
      <w:r>
        <w:t xml:space="preserve"> </w:t>
      </w:r>
      <w:r>
        <w:rPr>
          <w:b/>
          <w:bCs/>
        </w:rPr>
        <w:t xml:space="preserve">Class C</w:t>
      </w:r>
      <w:r>
        <w:t xml:space="preserve"> </w:t>
      </w:r>
      <w:r>
        <w:t xml:space="preserve">(open August 31, 2026). The Consolidated Rules become</w:t>
      </w:r>
      <w:r>
        <w:t xml:space="preserve"> </w:t>
      </w:r>
      <w:r>
        <w:rPr>
          <w:b/>
          <w:bCs/>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
          <w:bCs/>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w:t>
      </w:r>
    </w:p>
    <w:tbl>
      <w:tblPr>
        <w:tblStyle w:val="Table"/>
        <w:tblW w:type="pct" w:w="5000"/>
        <w:tblLayout w:type="fixed"/>
        <w:tblLook w:firstRow="1" w:lastRow="0" w:firstColumn="0" w:lastColumn="0" w:noHBand="0" w:noVBand="0" w:val="0020"/>
        <w:tblCaption w:val="FedRAMP 20x KSI Automation"/>
      </w:tblPr>
      <w:tblGrid>
        <w:gridCol w:w="2640"/>
        <w:gridCol w:w="2640"/>
        <w:gridCol w:w="2640"/>
      </w:tblGrid>
      <w:tr>
        <w:trPr>
          <w:tblHeader w:val="on"/>
        </w:trPr>
        <w:tc>
          <w:tcPr/>
          <w:p>
            <w:pPr>
              <w:pStyle w:val="Compact"/>
            </w:pPr>
            <w:r>
              <w:t xml:space="preserve">FedRAMP 20x KSI</w:t>
            </w:r>
          </w:p>
        </w:tc>
        <w:tc>
          <w:tcPr/>
          <w:p>
            <w:pPr>
              <w:pStyle w:val="Compact"/>
            </w:pPr>
            <w:r>
              <w:t xml:space="preserve">InfoBlox Enforcement</w:t>
            </w:r>
          </w:p>
        </w:tc>
        <w:tc>
          <w:tcPr/>
          <w:p>
            <w:pPr>
              <w:pStyle w:val="Compact"/>
            </w:pPr>
            <w:r>
              <w:t xml:space="preserve">Automated?</w:t>
            </w:r>
          </w:p>
        </w:tc>
      </w:tr>
      <w:tr>
        <w:tc>
          <w:tcPr/>
          <w:p>
            <w:pPr>
              <w:pStyle w:val="Compact"/>
            </w:pPr>
            <w:r>
              <w:t xml:space="preserve">All DNS traffic encrypted or integrity-protected</w:t>
            </w:r>
          </w:p>
        </w:tc>
        <w:tc>
          <w:tcPr/>
          <w:p>
            <w:pPr>
              <w:pStyle w:val="Compact"/>
            </w:pPr>
            <w:r>
              <w:t xml:space="preserve">DNSSEC on all zones; DoH/DoT endpoint on Grid Members</w:t>
            </w:r>
          </w:p>
        </w:tc>
        <w:tc>
          <w:tcPr/>
          <w:p>
            <w:pPr>
              <w:pStyle w:val="Compact"/>
            </w:pPr>
            <w:r>
              <w:rPr>
                <w:b/>
                <w:bCs/>
              </w:rPr>
              <w:t xml:space="preserve">Yes</w:t>
            </w:r>
            <w:r>
              <w:t xml:space="preserve"> </w:t>
            </w:r>
            <w:r>
              <w:t xml:space="preserve">— Grid policy</w:t>
            </w:r>
          </w:p>
        </w:tc>
      </w:tr>
      <w:tr>
        <w:tc>
          <w:tcPr/>
          <w:p>
            <w:pPr>
              <w:pStyle w:val="Compact"/>
            </w:pPr>
            <w:r>
              <w:t xml:space="preserve">Protective DNS for all workloads</w:t>
            </w:r>
          </w:p>
        </w:tc>
        <w:tc>
          <w:tcPr/>
          <w:p>
            <w:pPr>
              <w:pStyle w:val="Compact"/>
            </w:pPr>
            <w:r>
              <w:t xml:space="preserve">Grid Member = resolver for all VPC/VNet DHCP options; RPZ active</w:t>
            </w:r>
          </w:p>
        </w:tc>
        <w:tc>
          <w:tcPr/>
          <w:p>
            <w:pPr>
              <w:pStyle w:val="Compact"/>
            </w:pPr>
            <w:r>
              <w:rPr>
                <w:b/>
                <w:bCs/>
              </w:rPr>
              <w:t xml:space="preserve">Yes</w:t>
            </w:r>
            <w:r>
              <w:t xml:space="preserve"> </w:t>
            </w:r>
            <w:r>
              <w:t xml:space="preserve">— DHCP Options + RPZ</w:t>
            </w:r>
          </w:p>
        </w:tc>
      </w:tr>
      <w:tr>
        <w:tc>
          <w:tcPr/>
          <w:p>
            <w:pPr>
              <w:pStyle w:val="Compact"/>
            </w:pPr>
            <w:r>
              <w:t xml:space="preserve">IP address inventory current and complete</w:t>
            </w:r>
          </w:p>
        </w:tc>
        <w:tc>
          <w:tcPr/>
          <w:p>
            <w:pPr>
              <w:pStyle w:val="Compact"/>
            </w:pPr>
            <w:r>
              <w:t xml:space="preserve">API connectors sync in near-real-time; CM-8 report on demand</w:t>
            </w:r>
          </w:p>
        </w:tc>
        <w:tc>
          <w:tcPr/>
          <w:p>
            <w:pPr>
              <w:pStyle w:val="Compact"/>
            </w:pPr>
            <w:r>
              <w:rPr>
                <w:b/>
                <w:bCs/>
              </w:rPr>
              <w:t xml:space="preserve">Yes</w:t>
            </w:r>
            <w:r>
              <w:t xml:space="preserve"> </w:t>
            </w:r>
            <w:r>
              <w:t xml:space="preserve">— API connectors</w:t>
            </w:r>
          </w:p>
        </w:tc>
      </w:tr>
      <w:tr>
        <w:tc>
          <w:tcPr/>
          <w:p>
            <w:pPr>
              <w:pStyle w:val="Compact"/>
            </w:pPr>
            <w:r>
              <w:t xml:space="preserve">No CIDR overlap between environments</w:t>
            </w:r>
          </w:p>
        </w:tc>
        <w:tc>
          <w:tcPr/>
          <w:p>
            <w:pPr>
              <w:pStyle w:val="Compact"/>
            </w:pPr>
            <w:r>
              <w:t xml:space="preserve">Terraform InfoBlox provider blocks overlapping allocation at request time</w:t>
            </w:r>
          </w:p>
        </w:tc>
        <w:tc>
          <w:tcPr/>
          <w:p>
            <w:pPr>
              <w:pStyle w:val="Compact"/>
            </w:pPr>
            <w:r>
              <w:rPr>
                <w:b/>
                <w:bCs/>
              </w:rPr>
              <w:t xml:space="preserve">Yes</w:t>
            </w:r>
            <w:r>
              <w:t xml:space="preserve"> </w:t>
            </w:r>
            <w:r>
              <w:t xml:space="preserve">— Terraform</w:t>
            </w:r>
          </w:p>
        </w:tc>
      </w:tr>
      <w:tr>
        <w:tc>
          <w:tcPr/>
          <w:p>
            <w:pPr>
              <w:pStyle w:val="Compact"/>
            </w:pPr>
            <w:r>
              <w:t xml:space="preserve">Certificate expiry monitored and auto-renewed</w:t>
            </w:r>
          </w:p>
        </w:tc>
        <w:tc>
          <w:tcPr/>
          <w:p>
            <w:pPr>
              <w:pStyle w:val="Compact"/>
            </w:pPr>
            <w:r>
              <w:t xml:space="preserve">Certificate Tracker 90/30/7-day alerts; SCEP/EST auto-renewal workflow</w:t>
            </w:r>
          </w:p>
        </w:tc>
        <w:tc>
          <w:tcPr/>
          <w:p>
            <w:pPr>
              <w:pStyle w:val="Compact"/>
            </w:pPr>
            <w:r>
              <w:rPr>
                <w:b/>
                <w:bCs/>
              </w:rPr>
              <w:t xml:space="preserve">Yes</w:t>
            </w:r>
            <w:r>
              <w:t xml:space="preserve"> </w:t>
            </w:r>
            <w:r>
              <w:t xml:space="preserve">— Certificate Tracker</w:t>
            </w:r>
          </w:p>
        </w:tc>
      </w:tr>
      <w:tr>
        <w:tc>
          <w:tcPr/>
          <w:p>
            <w:pPr>
              <w:pStyle w:val="Compact"/>
            </w:pPr>
            <w:r>
              <w:t xml:space="preserve">Every workload has machine identity (cert)</w:t>
            </w:r>
          </w:p>
        </w:tc>
        <w:tc>
          <w:tcPr/>
          <w:p>
            <w:pPr>
              <w:pStyle w:val="Compact"/>
            </w:pPr>
            <w:r>
              <w:t xml:space="preserve">SCEP/EST enrollment triggered at IP host record creation</w:t>
            </w:r>
          </w:p>
        </w:tc>
        <w:tc>
          <w:tcPr/>
          <w:p>
            <w:pPr>
              <w:pStyle w:val="Compact"/>
            </w:pPr>
            <w:r>
              <w:rPr>
                <w:b/>
                <w:bCs/>
              </w:rPr>
              <w:t xml:space="preserve">Yes</w:t>
            </w:r>
            <w:r>
              <w:t xml:space="preserve"> </w:t>
            </w:r>
            <w:r>
              <w:t xml:space="preserve">— Auto-enrollment</w:t>
            </w:r>
          </w:p>
        </w:tc>
      </w:tr>
      <w:tr>
        <w:tc>
          <w:tcPr/>
          <w:p>
            <w:pPr>
              <w:pStyle w:val="Compact"/>
            </w:pPr>
            <w:r>
              <w:t xml:space="preserve">DNS change events auditable</w:t>
            </w:r>
          </w:p>
        </w:tc>
        <w:tc>
          <w:tcPr/>
          <w:p>
            <w:pPr>
              <w:pStyle w:val="Compact"/>
            </w:pPr>
            <w:r>
              <w:t xml:space="preserve">All DNS/DHCP/IP changes logged; syslog to SIEM in real time</w:t>
            </w:r>
          </w:p>
        </w:tc>
        <w:tc>
          <w:tcPr/>
          <w:p>
            <w:pPr>
              <w:pStyle w:val="Compact"/>
            </w:pPr>
            <w:r>
              <w:rPr>
                <w:b/>
                <w:bCs/>
              </w:rPr>
              <w:t xml:space="preserve">Yes</w:t>
            </w:r>
            <w:r>
              <w:t xml:space="preserve"> </w:t>
            </w:r>
            <w:r>
              <w:t xml:space="preserve">— Syslog + SIEM</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tc>
      </w:tr>
    </w:tbl>
    <w:p>
      <w:r>
        <w:pict>
          <v:rect style="width:0;height:1.5pt" o:hralign="center" o:hrstd="t" o:hr="t"/>
        </w:pict>
      </w:r>
    </w:p>
    <w:bookmarkEnd w:id="137"/>
    <w:bookmarkEnd w:id="138"/>
    <w:bookmarkStart w:id="139" w:name="sec-interagency"/>
    <w:p>
      <w:pPr>
        <w:pStyle w:val="Heading2"/>
      </w:pPr>
      <w:r>
        <w:t xml:space="preserve">11 Inter-Agency SaaS Integration: The OPM HRIT Template</w:t>
      </w:r>
    </w:p>
    <w:p>
      <w:pPr>
        <w:pStyle w:val="FirstParagraph"/>
      </w:pPr>
      <w:r>
        <w:t xml:space="preserve">OPM HRIT on OCI is the</w:t>
      </w:r>
      <w:r>
        <w:t xml:space="preserve"> </w:t>
      </w:r>
      <w:r>
        <w:rPr>
          <w:b/>
          <w:bCs/>
        </w:rPr>
        <w:t xml:space="preserve">first of many</w:t>
      </w:r>
      <w:r>
        <w:t xml:space="preserve"> </w:t>
      </w:r>
      <w:r>
        <w:t xml:space="preserve">federal inter-agency SaaS integrations. OPM, SSA, DHS, IRS, and VA are all moving shared services to cloud-hosted SaaS platforms. The pattern repeats every time:</w:t>
      </w:r>
    </w:p>
    <w:p>
      <w:pPr>
        <w:pStyle w:val="Compact"/>
        <w:numPr>
          <w:ilvl w:val="0"/>
          <w:numId w:val="1013"/>
        </w:numPr>
      </w:pPr>
      <w:r>
        <w:t xml:space="preserve">Agency A moves a shared service to cloud SaaS (OPM HRIT → OCI)</w:t>
      </w:r>
    </w:p>
    <w:p>
      <w:pPr>
        <w:pStyle w:val="Compact"/>
        <w:numPr>
          <w:ilvl w:val="0"/>
          <w:numId w:val="1013"/>
        </w:numPr>
      </w:pPr>
      <w:r>
        <w:t xml:space="preserve">Agency B (SSA) becomes an API consumer of that SaaS</w:t>
      </w:r>
    </w:p>
    <w:p>
      <w:pPr>
        <w:pStyle w:val="Compact"/>
        <w:numPr>
          <w:ilvl w:val="0"/>
          <w:numId w:val="1013"/>
        </w:numPr>
      </w:pPr>
      <w:r>
        <w:t xml:space="preserve">Agency B has no visibility into Agency A’s certificate rotation, endpoint changes, or IP range changes</w:t>
      </w:r>
    </w:p>
    <w:p>
      <w:pPr>
        <w:pStyle w:val="Compact"/>
        <w:numPr>
          <w:ilvl w:val="0"/>
          <w:numId w:val="1013"/>
        </w:numPr>
      </w:pPr>
      <w:r>
        <w:t xml:space="preserve">InfoBlox gives Agency B the monitoring layer it needs —</w:t>
      </w:r>
      <w:r>
        <w:t xml:space="preserve"> </w:t>
      </w:r>
      <w:r>
        <w:rPr>
          <w:b/>
          <w:bCs/>
        </w:rPr>
        <w:t xml:space="preserve">from SSA’s side, without requiring access to the partner agency’s cloud</w:t>
      </w:r>
    </w:p>
    <w:p>
      <w:pPr>
        <w:pStyle w:val="FirstParagraph"/>
      </w:pPr>
      <w:r>
        <w:rPr>
          <w:b/>
          <w:bCs/>
        </w:rPr>
        <w:t xml:space="preserve">InfoBlox’s inter-agency integration toolkit:</w:t>
      </w:r>
    </w:p>
    <w:p>
      <w:pPr>
        <w:pStyle w:val="Compact"/>
        <w:numPr>
          <w:ilvl w:val="0"/>
          <w:numId w:val="1014"/>
        </w:numPr>
      </w:pPr>
      <w:r>
        <w:rPr>
          <w:b/>
          <w:bCs/>
        </w:rPr>
        <w:t xml:space="preserve">Conditional DNS forwarders</w:t>
      </w:r>
      <w:r>
        <w:t xml:space="preserve"> </w:t>
      </w:r>
      <w:r>
        <w:t xml:space="preserve">— always know where the service resolves, even when the partner agency changes DNS</w:t>
      </w:r>
    </w:p>
    <w:p>
      <w:pPr>
        <w:pStyle w:val="Compact"/>
        <w:numPr>
          <w:ilvl w:val="0"/>
          <w:numId w:val="1014"/>
        </w:numPr>
      </w:pPr>
      <w:r>
        <w:rPr>
          <w:b/>
          <w:bCs/>
        </w:rPr>
        <w:t xml:space="preserve">Certificate Tracker endpoint polling</w:t>
      </w:r>
      <w:r>
        <w:t xml:space="preserve"> </w:t>
      </w:r>
      <w:r>
        <w:t xml:space="preserve">— always know when the partner’s TLS cert will expire</w:t>
      </w:r>
    </w:p>
    <w:p>
      <w:pPr>
        <w:pStyle w:val="Compact"/>
        <w:numPr>
          <w:ilvl w:val="0"/>
          <w:numId w:val="1014"/>
        </w:numPr>
      </w:pPr>
      <w:r>
        <w:rPr>
          <w:b/>
          <w:bCs/>
        </w:rPr>
        <w:t xml:space="preserve">External host records</w:t>
      </w:r>
      <w:r>
        <w:t xml:space="preserve"> </w:t>
      </w:r>
      <w:r>
        <w:t xml:space="preserve">— always document the partner’s IP ranges for SA-9 without API access to their cloud</w:t>
      </w:r>
    </w:p>
    <w:p>
      <w:pPr>
        <w:pStyle w:val="Compact"/>
        <w:numPr>
          <w:ilvl w:val="0"/>
          <w:numId w:val="1014"/>
        </w:numPr>
      </w:pPr>
      <w:r>
        <w:rPr>
          <w:b/>
          <w:bCs/>
        </w:rPr>
        <w:t xml:space="preserve">RPZ passthrough entries</w:t>
      </w:r>
      <w:r>
        <w:t xml:space="preserve"> </w:t>
      </w:r>
      <w:r>
        <w:t xml:space="preserve">— ensure InfoBlox RPZ does not block the inter-agency API calls</w:t>
      </w:r>
    </w:p>
    <w:p>
      <w:pPr>
        <w:pStyle w:val="Compact"/>
        <w:numPr>
          <w:ilvl w:val="0"/>
          <w:numId w:val="1014"/>
        </w:numPr>
      </w:pPr>
      <w:r>
        <w:rPr>
          <w:b/>
          <w:bCs/>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39"/>
    <w:bookmarkStart w:id="140" w:name="sec-summary"/>
    <w:p>
      <w:pPr>
        <w:pStyle w:val="Heading2"/>
      </w:pPr>
      <w:r>
        <w:t xml:space="preserve">12 Architecture Summary</w:t>
      </w:r>
    </w:p>
    <w:p>
      <w:pPr>
        <w:pStyle w:val="TableCaption"/>
      </w:pPr>
      <w:r>
        <w:t xml:space="preserve">Full Landing Zone Architecture Summary</w:t>
      </w:r>
    </w:p>
    <w:tbl>
      <w:tblPr>
        <w:tblStyle w:val="Table"/>
        <w:tblW w:type="pct" w:w="5000"/>
        <w:tblLayout w:type="fixed"/>
        <w:tblLook w:firstRow="1" w:lastRow="0" w:firstColumn="0" w:lastColumn="0" w:noHBand="0" w:noVBand="0" w:val="0020"/>
        <w:tblCaption w:val="Full Landing Zone Architecture Summary"/>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On-Premises VMware</w:t>
            </w:r>
          </w:p>
        </w:tc>
        <w:tc>
          <w:tcPr/>
          <w:p>
            <w:pPr>
              <w:pStyle w:val="Compact"/>
            </w:pPr>
            <w:r>
              <w:t xml:space="preserve">Azure Government</w:t>
            </w:r>
          </w:p>
        </w:tc>
        <w:tc>
          <w:tcPr/>
          <w:p>
            <w:pPr>
              <w:pStyle w:val="Compact"/>
            </w:pPr>
            <w:r>
              <w:t xml:space="preserve">AWS GovCloud</w:t>
            </w:r>
          </w:p>
        </w:tc>
        <w:tc>
          <w:tcPr/>
          <w:p>
            <w:pPr>
              <w:pStyle w:val="Compact"/>
            </w:pPr>
            <w:r>
              <w:t xml:space="preserve">Oracle OCI (OPM)</w:t>
            </w:r>
          </w:p>
        </w:tc>
        <w:tc>
          <w:tcPr/>
          <w:p>
            <w:pPr>
              <w:pStyle w:val="Compact"/>
            </w:pPr>
            <w:r>
              <w:t xml:space="preserve">InfoBlox Role</w:t>
            </w:r>
          </w:p>
        </w:tc>
      </w:tr>
      <w:tr>
        <w:tc>
          <w:tcPr/>
          <w:p>
            <w:pPr>
              <w:pStyle w:val="Compact"/>
            </w:pPr>
            <w:r>
              <w:rPr>
                <w:b/>
                <w:bCs/>
              </w:rPr>
              <w:t xml:space="preserve">IP Assignment</w:t>
            </w:r>
          </w:p>
        </w:tc>
        <w:tc>
          <w:tcPr/>
          <w:p>
            <w:pPr>
              <w:pStyle w:val="Compact"/>
            </w:pPr>
            <w:r>
              <w:t xml:space="preserve">NSX-T DHCP Profiles (VCF 9.1)</w:t>
            </w:r>
          </w:p>
        </w:tc>
        <w:tc>
          <w:tcPr/>
          <w:p>
            <w:pPr>
              <w:pStyle w:val="Compact"/>
            </w:pPr>
            <w:r>
              <w:t xml:space="preserve">Azure fabric / ARM API</w:t>
            </w:r>
          </w:p>
        </w:tc>
        <w:tc>
          <w:tcPr/>
          <w:p>
            <w:pPr>
              <w:pStyle w:val="Compact"/>
            </w:pPr>
            <w:r>
              <w:t xml:space="preserve">VPC DHCP Options / Nitro</w:t>
            </w:r>
          </w:p>
        </w:tc>
        <w:tc>
          <w:tcPr/>
          <w:p>
            <w:pPr>
              <w:pStyle w:val="Compact"/>
            </w:pPr>
            <w:r>
              <w:t xml:space="preserve">OCI VNIC / 169.254.169.254</w:t>
            </w:r>
          </w:p>
        </w:tc>
        <w:tc>
          <w:tcPr/>
          <w:p>
            <w:pPr>
              <w:pStyle w:val="Compact"/>
            </w:pPr>
            <w:r>
              <w:t xml:space="preserve">IPAM SSOT via connectors</w:t>
            </w:r>
          </w:p>
        </w:tc>
      </w:tr>
      <w:tr>
        <w:tc>
          <w:tcPr/>
          <w:p>
            <w:pPr>
              <w:pStyle w:val="Compact"/>
            </w:pPr>
            <w:r>
              <w:rPr>
                <w:b/>
                <w:bCs/>
              </w:rPr>
              <w:t xml:space="preserve">DNS Resolver</w:t>
            </w:r>
          </w:p>
        </w:tc>
        <w:tc>
          <w:tcPr/>
          <w:p>
            <w:pPr>
              <w:pStyle w:val="Compact"/>
            </w:pPr>
            <w:r>
              <w:t xml:space="preserve">Grid Member (replaces AD DNS)</w:t>
            </w:r>
          </w:p>
        </w:tc>
        <w:tc>
          <w:tcPr/>
          <w:p>
            <w:pPr>
              <w:pStyle w:val="Compact"/>
            </w:pPr>
            <w:r>
              <w:t xml:space="preserve">Azure DNS Private Resolver → Grid</w:t>
            </w:r>
          </w:p>
        </w:tc>
        <w:tc>
          <w:tcPr/>
          <w:p>
            <w:pPr>
              <w:pStyle w:val="Compact"/>
            </w:pPr>
            <w:r>
              <w:t xml:space="preserve">VPC DHCP Options → Grid</w:t>
            </w:r>
          </w:p>
        </w:tc>
        <w:tc>
          <w:tcPr/>
          <w:p>
            <w:pPr>
              <w:pStyle w:val="Compact"/>
            </w:pPr>
            <w:r>
              <w:t xml:space="preserve">OCI resolver → Grid forwarder</w:t>
            </w:r>
          </w:p>
        </w:tc>
        <w:tc>
          <w:tcPr/>
          <w:p>
            <w:pPr>
              <w:pStyle w:val="Compact"/>
            </w:pPr>
            <w:r>
              <w:t xml:space="preserve">Unified recursive + DNSSEC</w:t>
            </w:r>
          </w:p>
        </w:tc>
      </w:tr>
      <w:tr>
        <w:tc>
          <w:tcPr/>
          <w:p>
            <w:pPr>
              <w:pStyle w:val="Compact"/>
            </w:pPr>
            <w:r>
              <w:rPr>
                <w:b/>
                <w:bCs/>
              </w:rPr>
              <w:t xml:space="preserve">DNS Authority</w:t>
            </w:r>
          </w:p>
        </w:tc>
        <w:tc>
          <w:tcPr/>
          <w:p>
            <w:pPr>
              <w:pStyle w:val="Compact"/>
            </w:pPr>
            <w:r>
              <w:t xml:space="preserve">Grid Master (agency.gov)</w:t>
            </w:r>
          </w:p>
        </w:tc>
        <w:tc>
          <w:tcPr/>
          <w:p>
            <w:pPr>
              <w:pStyle w:val="Compact"/>
            </w:pPr>
            <w:r>
              <w:t xml:space="preserve">Grid Member + Azure Private DNS</w:t>
            </w:r>
          </w:p>
        </w:tc>
        <w:tc>
          <w:tcPr/>
          <w:p>
            <w:pPr>
              <w:pStyle w:val="Compact"/>
            </w:pPr>
            <w:r>
              <w:t xml:space="preserve">Grid Member + Route 53 private</w:t>
            </w:r>
          </w:p>
        </w:tc>
        <w:tc>
          <w:tcPr/>
          <w:p>
            <w:pPr>
              <w:pStyle w:val="Compact"/>
            </w:pPr>
            <w:r>
              <w:t xml:space="preserve">Grid forwarder + OCI DNS</w:t>
            </w:r>
          </w:p>
        </w:tc>
        <w:tc>
          <w:tcPr/>
          <w:p>
            <w:pPr>
              <w:pStyle w:val="Compact"/>
            </w:pPr>
            <w:r>
              <w:t xml:space="preserve">Grid Master as SSOT</w:t>
            </w:r>
          </w:p>
        </w:tc>
      </w:tr>
      <w:tr>
        <w:tc>
          <w:tcPr/>
          <w:p>
            <w:pPr>
              <w:pStyle w:val="Compact"/>
            </w:pPr>
            <w:r>
              <w:rPr>
                <w:b/>
                <w:bCs/>
              </w:rPr>
              <w:t xml:space="preserve">DHCP</w:t>
            </w:r>
          </w:p>
        </w:tc>
        <w:tc>
          <w:tcPr/>
          <w:p>
            <w:pPr>
              <w:pStyle w:val="Compact"/>
            </w:pPr>
            <w:r>
              <w:t xml:space="preserve">InfoBlox Grid DHCP (HA pair)</w:t>
            </w:r>
          </w:p>
        </w:tc>
        <w:tc>
          <w:tcPr/>
          <w:p>
            <w:pPr>
              <w:pStyle w:val="Compact"/>
            </w:pPr>
            <w:r>
              <w:t xml:space="preserve">Azure fabric (no Grid DHCP)</w:t>
            </w:r>
          </w:p>
        </w:tc>
        <w:tc>
          <w:tcPr/>
          <w:p>
            <w:pPr>
              <w:pStyle w:val="Compact"/>
            </w:pPr>
            <w:r>
              <w:t xml:space="preserve">AWS VPC DHCP</w:t>
            </w:r>
          </w:p>
        </w:tc>
        <w:tc>
          <w:tcPr/>
          <w:p>
            <w:pPr>
              <w:pStyle w:val="Compact"/>
            </w:pPr>
            <w:r>
              <w:t xml:space="preserve">OCI DHCP</w:t>
            </w:r>
          </w:p>
        </w:tc>
        <w:tc>
          <w:tcPr/>
          <w:p>
            <w:pPr>
              <w:pStyle w:val="Compact"/>
            </w:pPr>
            <w:r>
              <w:t xml:space="preserve">On-prem native; cloud via API</w:t>
            </w:r>
          </w:p>
        </w:tc>
      </w:tr>
      <w:tr>
        <w:tc>
          <w:tcPr/>
          <w:p>
            <w:pPr>
              <w:pStyle w:val="Compact"/>
            </w:pPr>
            <w:r>
              <w:rPr>
                <w:b/>
                <w:bCs/>
              </w:rPr>
              <w:t xml:space="preserve">IPAM</w:t>
            </w:r>
          </w:p>
        </w:tc>
        <w:tc>
          <w:tcPr/>
          <w:p>
            <w:pPr>
              <w:pStyle w:val="Compact"/>
            </w:pPr>
            <w:r>
              <w:t xml:space="preserve">On-Premises Network View</w:t>
            </w:r>
          </w:p>
        </w:tc>
        <w:tc>
          <w:tcPr/>
          <w:p>
            <w:pPr>
              <w:pStyle w:val="Compact"/>
            </w:pPr>
            <w:r>
              <w:t xml:space="preserve">Azure-GCC Network View</w:t>
            </w:r>
          </w:p>
        </w:tc>
        <w:tc>
          <w:tcPr/>
          <w:p>
            <w:pPr>
              <w:pStyle w:val="Compact"/>
            </w:pPr>
            <w:r>
              <w:t xml:space="preserve">AWS-GovCloud Network View</w:t>
            </w:r>
          </w:p>
        </w:tc>
        <w:tc>
          <w:tcPr/>
          <w:p>
            <w:pPr>
              <w:pStyle w:val="Compact"/>
            </w:pPr>
            <w:r>
              <w:t xml:space="preserve">OCI-OPM Network View (RO)</w:t>
            </w:r>
          </w:p>
        </w:tc>
        <w:tc>
          <w:tcPr/>
          <w:p>
            <w:pPr>
              <w:pStyle w:val="Compact"/>
            </w:pPr>
            <w:r>
              <w:t xml:space="preserve">Single DB, 4 Network Views</w:t>
            </w:r>
          </w:p>
        </w:tc>
      </w:tr>
      <w:tr>
        <w:tc>
          <w:tcPr/>
          <w:p>
            <w:pPr>
              <w:pStyle w:val="Compact"/>
            </w:pPr>
            <w:r>
              <w:rPr>
                <w:b/>
                <w:bCs/>
              </w:rPr>
              <w:t xml:space="preserve">Certificates</w:t>
            </w:r>
          </w:p>
        </w:tc>
        <w:tc>
          <w:tcPr/>
          <w:p>
            <w:pPr>
              <w:pStyle w:val="Compact"/>
            </w:pPr>
            <w:r>
              <w:t xml:space="preserve">ADCS via SCEP/EST</w:t>
            </w:r>
          </w:p>
        </w:tc>
        <w:tc>
          <w:tcPr/>
          <w:p>
            <w:pPr>
              <w:pStyle w:val="Compact"/>
            </w:pPr>
            <w:r>
              <w:t xml:space="preserve">Azure Key Vault; ARM API polling</w:t>
            </w:r>
          </w:p>
        </w:tc>
        <w:tc>
          <w:tcPr/>
          <w:p>
            <w:pPr>
              <w:pStyle w:val="Compact"/>
            </w:pPr>
            <w:r>
              <w:t xml:space="preserve">ACM Private CA; validation CNAMEs</w:t>
            </w:r>
          </w:p>
        </w:tc>
        <w:tc>
          <w:tcPr/>
          <w:p>
            <w:pPr>
              <w:pStyle w:val="Compact"/>
            </w:pPr>
            <w:r>
              <w:t xml:space="preserve">OCI Certs (OPM); cert polling</w:t>
            </w:r>
          </w:p>
        </w:tc>
        <w:tc>
          <w:tcPr/>
          <w:p>
            <w:pPr>
              <w:pStyle w:val="Compact"/>
            </w:pPr>
            <w:r>
              <w:t xml:space="preserve">Certificate Tracker</w:t>
            </w:r>
          </w:p>
        </w:tc>
      </w:tr>
      <w:tr>
        <w:tc>
          <w:tcPr/>
          <w:p>
            <w:pPr>
              <w:pStyle w:val="Compact"/>
            </w:pPr>
            <w:r>
              <w:rPr>
                <w:b/>
                <w:bCs/>
              </w:rPr>
              <w:t xml:space="preserve">Threat / RPZ</w:t>
            </w:r>
          </w:p>
        </w:tc>
        <w:tc>
          <w:tcPr/>
          <w:p>
            <w:pPr>
              <w:pStyle w:val="Compact"/>
            </w:pPr>
            <w:r>
              <w:t xml:space="preserve">RPZ on Grid Members; TIDE + CISA</w:t>
            </w:r>
          </w:p>
        </w:tc>
        <w:tc>
          <w:tcPr/>
          <w:p>
            <w:pPr>
              <w:pStyle w:val="Compact"/>
            </w:pPr>
            <w:r>
              <w:t xml:space="preserve">RPZ on Azure Grid Member</w:t>
            </w:r>
          </w:p>
        </w:tc>
        <w:tc>
          <w:tcPr/>
          <w:p>
            <w:pPr>
              <w:pStyle w:val="Compact"/>
            </w:pPr>
            <w:r>
              <w:t xml:space="preserve">RPZ on AWS Grid Member</w:t>
            </w:r>
          </w:p>
        </w:tc>
        <w:tc>
          <w:tcPr/>
          <w:p>
            <w:pPr>
              <w:pStyle w:val="Compact"/>
            </w:pPr>
            <w:r>
              <w:t xml:space="preserve">Grid forwarder RPZ</w:t>
            </w:r>
          </w:p>
        </w:tc>
        <w:tc>
          <w:tcPr/>
          <w:p>
            <w:pPr>
              <w:pStyle w:val="Compact"/>
            </w:pPr>
            <w:r>
              <w:t xml:space="preserve">Single policy, all environments</w:t>
            </w:r>
          </w:p>
        </w:tc>
      </w:tr>
      <w:tr>
        <w:tc>
          <w:tcPr/>
          <w:p>
            <w:pPr>
              <w:pStyle w:val="Compact"/>
            </w:pPr>
            <w:r>
              <w:rPr>
                <w:b/>
                <w:bCs/>
              </w:rPr>
              <w:t xml:space="preserve">Audit / SIEM</w:t>
            </w:r>
          </w:p>
        </w:tc>
        <w:tc>
          <w:tcPr/>
          <w:p>
            <w:pPr>
              <w:pStyle w:val="Compact"/>
            </w:pPr>
            <w:r>
              <w:t xml:space="preserve">Syslog from Grid Members</w:t>
            </w:r>
          </w:p>
        </w:tc>
        <w:tc>
          <w:tcPr/>
          <w:p>
            <w:pPr>
              <w:pStyle w:val="Compact"/>
            </w:pPr>
            <w:r>
              <w:t xml:space="preserve">Syslog from Azure Grid Member</w:t>
            </w:r>
          </w:p>
        </w:tc>
        <w:tc>
          <w:tcPr/>
          <w:p>
            <w:pPr>
              <w:pStyle w:val="Compact"/>
            </w:pPr>
            <w:r>
              <w:t xml:space="preserve">Syslog from AWS Grid Member</w:t>
            </w:r>
          </w:p>
        </w:tc>
        <w:tc>
          <w:tcPr/>
          <w:p>
            <w:pPr>
              <w:pStyle w:val="Compact"/>
            </w:pPr>
            <w:r>
              <w:t xml:space="preserve">Syslog from Grid forwarder</w:t>
            </w:r>
          </w:p>
        </w:tc>
        <w:tc>
          <w:tcPr/>
          <w:p>
            <w:pPr>
              <w:pStyle w:val="Compact"/>
            </w:pPr>
            <w:r>
              <w:t xml:space="preserve">One syslog stream</w:t>
            </w:r>
          </w:p>
        </w:tc>
      </w:tr>
      <w:tr>
        <w:tc>
          <w:tcPr/>
          <w:p>
            <w:pPr>
              <w:pStyle w:val="Compact"/>
            </w:pPr>
            <w:r>
              <w:rPr>
                <w:b/>
                <w:bCs/>
              </w:rPr>
              <w:t xml:space="preserve">FedRAMP Controls</w:t>
            </w:r>
          </w:p>
        </w:tc>
        <w:tc>
          <w:tcPr/>
          <w:p>
            <w:pPr>
              <w:pStyle w:val="Compact"/>
            </w:pPr>
            <w:r>
              <w:t xml:space="preserve">SC-20/21, CM-8, AU-12, IR-4</w:t>
            </w:r>
          </w:p>
        </w:tc>
        <w:tc>
          <w:tcPr/>
          <w:p>
            <w:pPr>
              <w:pStyle w:val="Compact"/>
            </w:pPr>
            <w:r>
              <w:t xml:space="preserve">SC-20/21, SA-9, IA-5(2), CM-8</w:t>
            </w:r>
          </w:p>
        </w:tc>
        <w:tc>
          <w:tcPr/>
          <w:p>
            <w:pPr>
              <w:pStyle w:val="Compact"/>
            </w:pPr>
            <w:r>
              <w:t xml:space="preserve">SC-20/21, SA-9, IA-5(2), CM-8</w:t>
            </w:r>
          </w:p>
        </w:tc>
        <w:tc>
          <w:tcPr/>
          <w:p>
            <w:pPr>
              <w:pStyle w:val="Compact"/>
            </w:pPr>
            <w:r>
              <w:t xml:space="preserve">SA-9, IA-5(2)</w:t>
            </w:r>
          </w:p>
        </w:tc>
        <w:tc>
          <w:tcPr/>
          <w:p>
            <w:pPr>
              <w:pStyle w:val="Compact"/>
            </w:pPr>
            <w:r>
              <w:t xml:space="preserve">Single evidence source</w:t>
            </w:r>
          </w:p>
        </w:tc>
      </w:tr>
    </w:tbl>
    <w:p>
      <w:r>
        <w:pict>
          <v:rect style="width:0;height:1.5pt" o:hralign="center" o:hrstd="t" o:hr="t"/>
        </w:pict>
      </w:r>
    </w:p>
    <w:bookmarkEnd w:id="140"/>
    <w:bookmarkStart w:id="151" w:name="sec-roadmap"/>
    <w:p>
      <w:pPr>
        <w:pStyle w:val="Heading2"/>
      </w:pPr>
      <w:r>
        <w:t xml:space="preserve">13 Recommended Buildout Roadmap</w:t>
      </w:r>
    </w:p>
    <w:p>
      <w:pPr>
        <w:pStyle w:val="FirstParagraph"/>
      </w:pPr>
      <w:r>
        <w:t xml:space="preserve">Each phase produces immediately usable compliance evidence and security value — there is no</w:t>
      </w:r>
      <w:r>
        <w:t xml:space="preserve"> </w:t>
      </w:r>
      <w:r>
        <w:t xml:space="preserve">‘big bang’</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42" name="Picture"/>
            <a:graphic>
              <a:graphicData uri="http://schemas.openxmlformats.org/drawingml/2006/picture">
                <pic:pic>
                  <pic:nvPicPr>
                    <pic:cNvPr descr="figs/lz-fig-14-roadmap.png" id="143" name="Picture"/>
                    <pic:cNvPicPr>
                      <a:picLocks noChangeArrowheads="1" noChangeAspect="1"/>
                    </pic:cNvPicPr>
                  </pic:nvPicPr>
                  <pic:blipFill>
                    <a:blip r:embed="rId141"/>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44" w:name="X6998601d02e0784d9756e9b3df61efe56f843a2"/>
    <w:p>
      <w:pPr>
        <w:pStyle w:val="Heading3"/>
      </w:pPr>
      <w:r>
        <w:t xml:space="preserve">Phase 0 — Procurement and Architecture (Month 1)</w:t>
      </w:r>
    </w:p>
    <w:p>
      <w:pPr>
        <w:pStyle w:val="Compact"/>
        <w:numPr>
          <w:ilvl w:val="0"/>
          <w:numId w:val="1015"/>
        </w:numPr>
      </w:pPr>
      <w:r>
        <w:t xml:space="preserve">Procure InfoBlox BloxOne DDI Federal via</w:t>
      </w:r>
      <w:r>
        <w:t xml:space="preserve"> </w:t>
      </w:r>
      <w:r>
        <w:rPr>
          <w:b/>
          <w:bCs/>
        </w:rPr>
        <w:t xml:space="preserve">AWS GovCloud Marketplace</w:t>
      </w:r>
      <w:r>
        <w:t xml:space="preserve"> </w:t>
      </w:r>
      <w:r>
        <w:t xml:space="preserve">against existing EA (no new IDIQ)</w:t>
      </w:r>
    </w:p>
    <w:p>
      <w:pPr>
        <w:pStyle w:val="Compact"/>
        <w:numPr>
          <w:ilvl w:val="0"/>
          <w:numId w:val="1015"/>
        </w:numPr>
      </w:pPr>
      <w:r>
        <w:t xml:space="preserve">Reference FedRAMP Marketplace CSO</w:t>
      </w:r>
      <w:r>
        <w:t xml:space="preserve"> </w:t>
      </w:r>
      <w:r>
        <w:rPr>
          <w:b/>
          <w:bCs/>
        </w:rPr>
        <w:t xml:space="preserve">FR2017257053</w:t>
      </w:r>
      <w:r>
        <w:t xml:space="preserve"> </w:t>
      </w:r>
      <w:r>
        <w:t xml:space="preserve">in procurement documentation</w:t>
      </w:r>
    </w:p>
    <w:p>
      <w:pPr>
        <w:pStyle w:val="Compact"/>
        <w:numPr>
          <w:ilvl w:val="0"/>
          <w:numId w:val="1015"/>
        </w:numPr>
      </w:pPr>
      <w:r>
        <w:t xml:space="preserve">Design Network View CIDR allocation plan: audit all existing IP ranges across on-prem, Azure VNet, AWS VPC, OCI VCN for overlaps</w:t>
      </w:r>
    </w:p>
    <w:p>
      <w:pPr>
        <w:pStyle w:val="Compact"/>
        <w:numPr>
          <w:ilvl w:val="0"/>
          <w:numId w:val="1015"/>
        </w:numPr>
      </w:pPr>
      <w:r>
        <w:t xml:space="preserve">Engage InfoBlox Professional Services for VCF 9.1 DDI integration workshop</w:t>
      </w:r>
    </w:p>
    <w:bookmarkEnd w:id="144"/>
    <w:bookmarkStart w:id="145" w:name="phase-1-on-premises-foundation-months-13"/>
    <w:p>
      <w:pPr>
        <w:pStyle w:val="Heading3"/>
      </w:pPr>
      <w:r>
        <w:t xml:space="preserve">Phase 1 — On-Premises Foundation (Months 1–3)</w:t>
      </w:r>
    </w:p>
    <w:p>
      <w:pPr>
        <w:pStyle w:val="Compact"/>
        <w:numPr>
          <w:ilvl w:val="0"/>
          <w:numId w:val="1016"/>
        </w:numPr>
      </w:pPr>
      <w:r>
        <w:t xml:space="preserve">Deploy Grid Master HA pair; import all AD DNS zones; enable DNSSEC for agency.gov</w:t>
      </w:r>
    </w:p>
    <w:p>
      <w:pPr>
        <w:pStyle w:val="Compact"/>
        <w:numPr>
          <w:ilvl w:val="0"/>
          <w:numId w:val="1016"/>
        </w:numPr>
      </w:pPr>
      <w:r>
        <w:t xml:space="preserve">Submit DS record to .gov TLD registrar (closes SC-20 gap)</w:t>
      </w:r>
    </w:p>
    <w:p>
      <w:pPr>
        <w:pStyle w:val="Compact"/>
        <w:numPr>
          <w:ilvl w:val="0"/>
          <w:numId w:val="1016"/>
        </w:numPr>
      </w:pPr>
      <w:r>
        <w:t xml:space="preserve">Migrate Windows Server DHCP scopes to InfoBlox Grid DHCP; enable DHCP fingerprinting (the device-identity feed that</w:t>
      </w:r>
      <w:r>
        <w:t xml:space="preserve"> </w:t>
      </w:r>
      <w:hyperlink r:id="rId92">
        <w:r>
          <w:rPr>
            <w:rStyle w:val="Hyperlink"/>
          </w:rPr>
          <w:t xml:space="preserve">Book 02</w:t>
        </w:r>
      </w:hyperlink>
      <w:r>
        <w:t xml:space="preserve"> </w:t>
      </w:r>
      <w:r>
        <w:t xml:space="preserve">builds the NAC device inventory on)</w:t>
      </w:r>
    </w:p>
    <w:p>
      <w:pPr>
        <w:pStyle w:val="Compact"/>
        <w:numPr>
          <w:ilvl w:val="0"/>
          <w:numId w:val="1016"/>
        </w:numPr>
      </w:pPr>
      <w:r>
        <w:t xml:space="preserve">Configure syslog forwarding from all Grid Members to SIEM (Splunk/Sentinel); verify AU-12 event receipt</w:t>
      </w:r>
    </w:p>
    <w:p>
      <w:pPr>
        <w:pStyle w:val="Compact"/>
        <w:numPr>
          <w:ilvl w:val="0"/>
          <w:numId w:val="1016"/>
        </w:numPr>
      </w:pPr>
      <w:r>
        <w:t xml:space="preserve">Deploy SCEP connector to ADCS; test automated cert enrollment from new IP host record</w:t>
      </w:r>
    </w:p>
    <w:p>
      <w:pPr>
        <w:pStyle w:val="Compact"/>
        <w:numPr>
          <w:ilvl w:val="0"/>
          <w:numId w:val="1016"/>
        </w:numPr>
      </w:pPr>
      <w:r>
        <w:t xml:space="preserve">Generate first CM-8 IP inventory export; reconcile against existing CMDB</w:t>
      </w:r>
    </w:p>
    <w:bookmarkEnd w:id="145"/>
    <w:bookmarkStart w:id="146" w:name="Xc4c0bc48ec731a428e8eb5363949c17466fc71f"/>
    <w:p>
      <w:pPr>
        <w:pStyle w:val="Heading3"/>
      </w:pPr>
      <w:r>
        <w:t xml:space="preserve">Phase 2 — VMware VCF 9.1 Integration (Months 2–4)</w:t>
      </w:r>
    </w:p>
    <w:p>
      <w:pPr>
        <w:pStyle w:val="Compact"/>
        <w:numPr>
          <w:ilvl w:val="0"/>
          <w:numId w:val="1017"/>
        </w:numPr>
      </w:pPr>
      <w:r>
        <w:t xml:space="preserve">Update VCF to 9.1; configure VCF-A to use InfoBlox WAPI as external IPAM backend</w:t>
      </w:r>
    </w:p>
    <w:p>
      <w:pPr>
        <w:pStyle w:val="Compact"/>
        <w:numPr>
          <w:ilvl w:val="0"/>
          <w:numId w:val="1017"/>
        </w:numPr>
      </w:pPr>
      <w:r>
        <w:t xml:space="preserve">Update NSX-T DHCP Server Profiles to route DNS to InfoBlox Grid Member IP</w:t>
      </w:r>
    </w:p>
    <w:p>
      <w:pPr>
        <w:pStyle w:val="Compact"/>
        <w:numPr>
          <w:ilvl w:val="0"/>
          <w:numId w:val="1017"/>
        </w:numPr>
      </w:pPr>
      <w:r>
        <w:t xml:space="preserve">Verify NSX-T VM IP assignments appear in InfoBlox On-Premises Network View within 60 seconds</w:t>
      </w:r>
    </w:p>
    <w:bookmarkEnd w:id="146"/>
    <w:bookmarkStart w:id="147" w:name="X77a697cf21d0ca41f2584ad67baf5270bd4b388"/>
    <w:p>
      <w:pPr>
        <w:pStyle w:val="Heading3"/>
      </w:pPr>
      <w:r>
        <w:t xml:space="preserve">Phase 3 — Azure Government Integration (Months 3–5)</w:t>
      </w:r>
    </w:p>
    <w:p>
      <w:pPr>
        <w:pStyle w:val="Compact"/>
        <w:numPr>
          <w:ilvl w:val="0"/>
          <w:numId w:val="1018"/>
        </w:numPr>
      </w:pPr>
      <w:r>
        <w:t xml:space="preserve">Deploy InfoBlox Grid Member as Azure VM in Hub VNet; configure Azure DNS Private Resolver to forward to Grid Member</w:t>
      </w:r>
    </w:p>
    <w:p>
      <w:pPr>
        <w:pStyle w:val="Compact"/>
        <w:numPr>
          <w:ilvl w:val="0"/>
          <w:numId w:val="1018"/>
        </w:numPr>
      </w:pPr>
      <w:r>
        <w:t xml:space="preserve">Register all Azure VNet/subnet CIDRs in InfoBlox Azure-GCC Network View; enable Azure connector</w:t>
      </w:r>
    </w:p>
    <w:p>
      <w:pPr>
        <w:pStyle w:val="Compact"/>
        <w:numPr>
          <w:ilvl w:val="0"/>
          <w:numId w:val="1018"/>
        </w:numPr>
      </w:pPr>
      <w:r>
        <w:t xml:space="preserve">Configure Azure Key Vault Certificate Manager polling in InfoBlox Certificate Tracker</w:t>
      </w:r>
    </w:p>
    <w:p>
      <w:pPr>
        <w:pStyle w:val="Compact"/>
        <w:numPr>
          <w:ilvl w:val="0"/>
          <w:numId w:val="1018"/>
        </w:numPr>
      </w:pPr>
      <w:r>
        <w:t xml:space="preserve">Configure M365 GCC endpoint API polling; test RPZ passthrough and commercial M365 RPZ block</w:t>
      </w:r>
    </w:p>
    <w:bookmarkEnd w:id="147"/>
    <w:bookmarkStart w:id="148" w:name="Xa43eec936343295a8326917a9cf352928776252"/>
    <w:p>
      <w:pPr>
        <w:pStyle w:val="Heading3"/>
      </w:pPr>
      <w:r>
        <w:t xml:space="preserve">Phase 4 — AWS GovCloud Integration (Months 5–7)</w:t>
      </w:r>
    </w:p>
    <w:p>
      <w:pPr>
        <w:pStyle w:val="Compact"/>
        <w:numPr>
          <w:ilvl w:val="0"/>
          <w:numId w:val="1019"/>
        </w:numPr>
      </w:pPr>
      <w:r>
        <w:t xml:space="preserve">Deploy InfoBlox Grid Member as EC2 instance in Transit VPC</w:t>
      </w:r>
    </w:p>
    <w:p>
      <w:pPr>
        <w:pStyle w:val="Compact"/>
        <w:numPr>
          <w:ilvl w:val="0"/>
          <w:numId w:val="1019"/>
        </w:numPr>
      </w:pPr>
      <w:r>
        <w:t xml:space="preserve">Update VPC DHCP Options Sets to use Grid Member IP as domain-name-server</w:t>
      </w:r>
    </w:p>
    <w:p>
      <w:pPr>
        <w:pStyle w:val="Compact"/>
        <w:numPr>
          <w:ilvl w:val="0"/>
          <w:numId w:val="1019"/>
        </w:numPr>
      </w:pPr>
      <w:r>
        <w:t xml:space="preserve">Enable InfoBlox AWS connector; register all VPC CIDR allocations in AWS-GovCloud Network View</w:t>
      </w:r>
    </w:p>
    <w:p>
      <w:pPr>
        <w:pStyle w:val="Compact"/>
        <w:numPr>
          <w:ilvl w:val="0"/>
          <w:numId w:val="1019"/>
        </w:numPr>
      </w:pPr>
      <w:r>
        <w:t xml:space="preserve">Configure ACM DNS validation CNAME automation; test certificate issuance for an internal ALB</w:t>
      </w:r>
    </w:p>
    <w:p>
      <w:pPr>
        <w:pStyle w:val="Compact"/>
        <w:numPr>
          <w:ilvl w:val="0"/>
          <w:numId w:val="1019"/>
        </w:numPr>
      </w:pPr>
      <w:r>
        <w:t xml:space="preserve">Integrate InfoBlox RPZ events with AWS Security Hub findings</w:t>
      </w:r>
    </w:p>
    <w:bookmarkEnd w:id="148"/>
    <w:bookmarkStart w:id="149" w:name="Xca1eadb88ebaa0b3ed62b98ccc9ae1a6edf20c4"/>
    <w:p>
      <w:pPr>
        <w:pStyle w:val="Heading3"/>
      </w:pPr>
      <w:r>
        <w:t xml:space="preserve">Phase 5 — OCI OPM HRIT Integration (Months 7–9)</w:t>
      </w:r>
    </w:p>
    <w:p>
      <w:pPr>
        <w:pStyle w:val="Compact"/>
        <w:numPr>
          <w:ilvl w:val="0"/>
          <w:numId w:val="1020"/>
        </w:numPr>
      </w:pPr>
      <w:r>
        <w:t xml:space="preserve">Import all known OPM HRIT service endpoint IPs and FQDNs as external host records</w:t>
      </w:r>
    </w:p>
    <w:p>
      <w:pPr>
        <w:pStyle w:val="Compact"/>
        <w:numPr>
          <w:ilvl w:val="0"/>
          <w:numId w:val="1020"/>
        </w:numPr>
      </w:pPr>
      <w:r>
        <w:t xml:space="preserve">Configure InfoBlox conditional forwarder for OPM HRIT FQDNs through FastConnect path</w:t>
      </w:r>
    </w:p>
    <w:p>
      <w:pPr>
        <w:pStyle w:val="Compact"/>
        <w:numPr>
          <w:ilvl w:val="0"/>
          <w:numId w:val="1020"/>
        </w:numPr>
      </w:pPr>
      <w:r>
        <w:t xml:space="preserve">Connect InfoBlox Certificate Tracker to OPM HRIT HTTPS endpoints; verify 90-day cert expiry alert fires</w:t>
      </w:r>
    </w:p>
    <w:p>
      <w:pPr>
        <w:pStyle w:val="Compact"/>
        <w:numPr>
          <w:ilvl w:val="0"/>
          <w:numId w:val="1020"/>
        </w:numPr>
      </w:pPr>
      <w:r>
        <w:t xml:space="preserve">Document OCI integration in SSP SA-9 external services table with OPM as system owner</w:t>
      </w:r>
    </w:p>
    <w:bookmarkEnd w:id="149"/>
    <w:bookmarkStart w:id="150" w:name="X6450109d4d09342385afb6f44eead155ff42378"/>
    <w:p>
      <w:pPr>
        <w:pStyle w:val="Heading3"/>
      </w:pPr>
      <w:r>
        <w:t xml:space="preserve">Phase 6 — FedRAMP Continuous Monitoring (Months 9–12)</w:t>
      </w:r>
    </w:p>
    <w:p>
      <w:pPr>
        <w:pStyle w:val="Compact"/>
        <w:numPr>
          <w:ilvl w:val="0"/>
          <w:numId w:val="1021"/>
        </w:numPr>
      </w:pPr>
      <w:r>
        <w:t xml:space="preserve">Complete InfoBlox FedRAMP ATO documentation in SSP; reference CSO FR2017257053 for DDI layer control inheritance</w:t>
      </w:r>
    </w:p>
    <w:p>
      <w:pPr>
        <w:pStyle w:val="Compact"/>
        <w:numPr>
          <w:ilvl w:val="0"/>
          <w:numId w:val="1021"/>
        </w:numPr>
      </w:pPr>
      <w:r>
        <w:t xml:space="preserve">Configure all eight FedRAMP control evidence exports as scheduled reports</w:t>
      </w:r>
    </w:p>
    <w:p>
      <w:pPr>
        <w:pStyle w:val="Compact"/>
        <w:numPr>
          <w:ilvl w:val="0"/>
          <w:numId w:val="1021"/>
        </w:numPr>
      </w:pPr>
      <w:r>
        <w:t xml:space="preserve">Implement IaC Terraform pipeline: IP allocation → DNS record → SCEP cert enrollment as single atomic pipeline</w:t>
      </w:r>
    </w:p>
    <w:p>
      <w:pPr>
        <w:pStyle w:val="Compact"/>
        <w:numPr>
          <w:ilvl w:val="0"/>
          <w:numId w:val="1021"/>
        </w:numPr>
      </w:pPr>
      <w:r>
        <w:t xml:space="preserve">Configure FedRAMP 20x KSI automation checks (DNSSEC status, RPZ coverage, cert expiry, CIDR conflict) as CI/CD pipeline tests</w:t>
      </w:r>
    </w:p>
    <w:p>
      <w:r>
        <w:pict>
          <v:rect style="width:0;height:1.5pt" o:hralign="center" o:hrstd="t" o:hr="t"/>
        </w:pict>
      </w:r>
    </w:p>
    <w:bookmarkEnd w:id="150"/>
    <w:bookmarkEnd w:id="151"/>
    <w:bookmarkStart w:id="164" w:name="references"/>
    <w:p>
      <w:pPr>
        <w:pStyle w:val="Heading2"/>
      </w:pPr>
      <w:r>
        <w:t xml:space="preserve">References</w:t>
      </w:r>
    </w:p>
    <w:p>
      <w:pPr>
        <w:pStyle w:val="TableCaption"/>
      </w:pPr>
      <w:r>
        <w:t xml:space="preserve">References</w:t>
      </w:r>
    </w:p>
    <w:tbl>
      <w:tblPr>
        <w:tblStyle w:val="Table"/>
        <w:tblW w:type="pct" w:w="5000"/>
        <w:tblLayout w:type="fixed"/>
        <w:tblLook w:firstRow="1" w:lastRow="0" w:firstColumn="0" w:lastColumn="0" w:noHBand="0" w:noVBand="0" w:val="0020"/>
        <w:tblCaption w:val="References"/>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InfoBlox FedRAMP Marketplace (CSO FR2017257053)</w:t>
            </w:r>
          </w:p>
        </w:tc>
        <w:tc>
          <w:tcPr/>
          <w:p>
            <w:pPr>
              <w:pStyle w:val="Compact"/>
            </w:pPr>
            <w:hyperlink r:id="rId152">
              <w:r>
                <w:rPr>
                  <w:rStyle w:val="Hyperlink"/>
                </w:rPr>
                <w:t xml:space="preserve">fedramp.gov/marketplace/products/FR2017257053</w:t>
              </w:r>
            </w:hyperlink>
          </w:p>
        </w:tc>
      </w:tr>
      <w:tr>
        <w:tc>
          <w:tcPr/>
          <w:p>
            <w:pPr>
              <w:pStyle w:val="Compact"/>
            </w:pPr>
            <w:r>
              <w:t xml:space="preserve">VMware VCF 9.1 InfoBlox DDI Integration (May 2026)</w:t>
            </w:r>
          </w:p>
        </w:tc>
        <w:tc>
          <w:tcPr/>
          <w:p>
            <w:pPr>
              <w:pStyle w:val="Compact"/>
            </w:pPr>
            <w:hyperlink r:id="rId153">
              <w:r>
                <w:rPr>
                  <w:rStyle w:val="Hyperlink"/>
                </w:rPr>
                <w:t xml:space="preserve">blogs.vmware.com/cloud-foundation</w:t>
              </w:r>
            </w:hyperlink>
          </w:p>
        </w:tc>
      </w:tr>
      <w:tr>
        <w:tc>
          <w:tcPr/>
          <w:p>
            <w:pPr>
              <w:pStyle w:val="Compact"/>
            </w:pPr>
            <w:r>
              <w:t xml:space="preserve">Register InfoBlox NIOS DDI with NSX — Broadcom TechDocs</w:t>
            </w:r>
          </w:p>
        </w:tc>
        <w:tc>
          <w:tcPr/>
          <w:p>
            <w:pPr>
              <w:pStyle w:val="Compact"/>
            </w:pPr>
            <w:hyperlink r:id="rId154">
              <w:r>
                <w:rPr>
                  <w:rStyle w:val="Hyperlink"/>
                </w:rPr>
                <w:t xml:space="preserve">techdocs.broadcom.com/…/integrate-nsx-with-infoblox</w:t>
              </w:r>
            </w:hyperlink>
          </w:p>
        </w:tc>
      </w:tr>
      <w:tr>
        <w:tc>
          <w:tcPr/>
          <w:p>
            <w:pPr>
              <w:pStyle w:val="Compact"/>
            </w:pPr>
            <w:r>
              <w:t xml:space="preserve">Microsoft 365 IP and URL Web Service</w:t>
            </w:r>
          </w:p>
        </w:tc>
        <w:tc>
          <w:tcPr/>
          <w:p>
            <w:pPr>
              <w:pStyle w:val="Compact"/>
            </w:pPr>
            <w:hyperlink r:id="rId155">
              <w:r>
                <w:rPr>
                  <w:rStyle w:val="Hyperlink"/>
                </w:rPr>
                <w:t xml:space="preserve">docs.microsoft.com/en-us/microsoft-365/enterprise/microsoft-365-ip-web-service</w:t>
              </w:r>
            </w:hyperlink>
          </w:p>
        </w:tc>
      </w:tr>
      <w:tr>
        <w:tc>
          <w:tcPr/>
          <w:p>
            <w:pPr>
              <w:pStyle w:val="Compact"/>
            </w:pPr>
            <w:r>
              <w:t xml:space="preserve">AWS VPC IP Address Manager (IPAM)</w:t>
            </w:r>
          </w:p>
        </w:tc>
        <w:tc>
          <w:tcPr/>
          <w:p>
            <w:pPr>
              <w:pStyle w:val="Compact"/>
            </w:pPr>
            <w:hyperlink r:id="rId156">
              <w:r>
                <w:rPr>
                  <w:rStyle w:val="Hyperlink"/>
                </w:rPr>
                <w:t xml:space="preserve">docs.aws.amazon.com/vpc/latest/ipam</w:t>
              </w:r>
            </w:hyperlink>
          </w:p>
        </w:tc>
      </w:tr>
      <w:tr>
        <w:tc>
          <w:tcPr/>
          <w:p>
            <w:pPr>
              <w:pStyle w:val="Compact"/>
            </w:pPr>
            <w:r>
              <w:t xml:space="preserve">Azure Virtual Network Manager IPAM (preview)</w:t>
            </w:r>
          </w:p>
        </w:tc>
        <w:tc>
          <w:tcPr/>
          <w:p>
            <w:pPr>
              <w:pStyle w:val="Compact"/>
            </w:pPr>
            <w:hyperlink r:id="rId157">
              <w:r>
                <w:rPr>
                  <w:rStyle w:val="Hyperlink"/>
                </w:rPr>
                <w:t xml:space="preserve">learn.microsoft.com/en-us/azure/virtual-network-manager/concept-ip-address-management</w:t>
              </w:r>
            </w:hyperlink>
          </w:p>
        </w:tc>
      </w:tr>
      <w:tr>
        <w:tc>
          <w:tcPr/>
          <w:p>
            <w:pPr>
              <w:pStyle w:val="Compact"/>
            </w:pPr>
            <w:r>
              <w:t xml:space="preserve">CISA Zero Trust Maturity Model v2.0 (April 2023)</w:t>
            </w:r>
          </w:p>
        </w:tc>
        <w:tc>
          <w:tcPr/>
          <w:p>
            <w:pPr>
              <w:pStyle w:val="Compact"/>
            </w:pPr>
            <w:hyperlink r:id="rId158">
              <w:r>
                <w:rPr>
                  <w:rStyle w:val="Hyperlink"/>
                </w:rPr>
                <w:t xml:space="preserve">cisa.gov/sites/default/files/2023-04/zero_trust_maturity_model_v2_508.pdf</w:t>
              </w:r>
            </w:hyperlink>
          </w:p>
        </w:tc>
      </w:tr>
      <w:tr>
        <w:tc>
          <w:tcPr/>
          <w:p>
            <w:pPr>
              <w:pStyle w:val="Compact"/>
            </w:pPr>
            <w:r>
              <w:t xml:space="preserve">FedRAMP 20x KSI Enforcement — AWS Public Sector</w:t>
            </w:r>
          </w:p>
        </w:tc>
        <w:tc>
          <w:tcPr/>
          <w:p>
            <w:pPr>
              <w:pStyle w:val="Compact"/>
            </w:pPr>
            <w:hyperlink r:id="rId159">
              <w:r>
                <w:rPr>
                  <w:rStyle w:val="Hyperlink"/>
                </w:rPr>
                <w:t xml:space="preserve">aws.amazon.com/blogs/publicsector/preventive-controls-for-fedramp-20x</w:t>
              </w:r>
            </w:hyperlink>
          </w:p>
        </w:tc>
      </w:tr>
      <w:tr>
        <w:tc>
          <w:tcPr/>
          <w:p>
            <w:pPr>
              <w:pStyle w:val="Compact"/>
            </w:pPr>
            <w:r>
              <w:t xml:space="preserve">InfoBlox NIOS 9.0 Certificate Management</w:t>
            </w:r>
          </w:p>
        </w:tc>
        <w:tc>
          <w:tcPr/>
          <w:p>
            <w:pPr>
              <w:pStyle w:val="Compact"/>
            </w:pPr>
            <w:hyperlink r:id="rId160">
              <w:r>
                <w:rPr>
                  <w:rStyle w:val="Hyperlink"/>
                </w:rPr>
                <w:t xml:space="preserve">docs.infoblox.com/space/nios90/280266962</w:t>
              </w:r>
            </w:hyperlink>
          </w:p>
        </w:tc>
      </w:tr>
      <w:tr>
        <w:tc>
          <w:tcPr/>
          <w:p>
            <w:pPr>
              <w:pStyle w:val="Compact"/>
            </w:pPr>
            <w:r>
              <w:t xml:space="preserve">AWS Landing Zone Accelerator on AWS (LZA)</w:t>
            </w:r>
          </w:p>
        </w:tc>
        <w:tc>
          <w:tcPr/>
          <w:p>
            <w:pPr>
              <w:pStyle w:val="Compact"/>
            </w:pPr>
            <w:hyperlink r:id="rId161">
              <w:r>
                <w:rPr>
                  <w:rStyle w:val="Hyperlink"/>
                </w:rPr>
                <w:t xml:space="preserve">github.com/awslabs/landing-zone-accelerator-on-aws</w:t>
              </w:r>
            </w:hyperlink>
          </w:p>
        </w:tc>
      </w:tr>
      <w:tr>
        <w:tc>
          <w:tcPr/>
          <w:p>
            <w:pPr>
              <w:pStyle w:val="Compact"/>
            </w:pPr>
            <w:r>
              <w:t xml:space="preserve">InfoBlox IPAM and DHCP Solutions</w:t>
            </w:r>
          </w:p>
        </w:tc>
        <w:tc>
          <w:tcPr/>
          <w:p>
            <w:pPr>
              <w:pStyle w:val="Compact"/>
            </w:pPr>
            <w:hyperlink r:id="rId162">
              <w:r>
                <w:rPr>
                  <w:rStyle w:val="Hyperlink"/>
                </w:rPr>
                <w:t xml:space="preserve">infoblox.com/solutions/ipam-dhcp</w:t>
              </w:r>
            </w:hyperlink>
          </w:p>
        </w:tc>
      </w:tr>
      <w:tr>
        <w:tc>
          <w:tcPr/>
          <w:p>
            <w:pPr>
              <w:pStyle w:val="Compact"/>
            </w:pPr>
            <w:r>
              <w:t xml:space="preserve">Configure DHCP for Azure VMware Solution (NSX-T)</w:t>
            </w:r>
          </w:p>
        </w:tc>
        <w:tc>
          <w:tcPr/>
          <w:p>
            <w:pPr>
              <w:pStyle w:val="Compact"/>
            </w:pPr>
            <w:hyperlink r:id="rId163">
              <w:r>
                <w:rPr>
                  <w:rStyle w:val="Hyperlink"/>
                </w:rPr>
                <w:t xml:space="preserve">learn.microsoft.com/en-us/azure/azure-vmware/configure-dhcp-azure-vmware-solution</w:t>
              </w:r>
            </w:hyperlink>
          </w:p>
        </w:tc>
      </w:tr>
    </w:tbl>
    <w:p>
      <w:r>
        <w:pict>
          <v:rect style="width:0;height:1.5pt" o:hralign="center" o:hrstd="t" o:hr="t"/>
        </w:pict>
      </w:r>
    </w:p>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72" Target="media/rId72.png" /><Relationship Type="http://schemas.openxmlformats.org/officeDocument/2006/relationships/image" Id="rId35" Target="media/rId35.png" /><Relationship Type="http://schemas.openxmlformats.org/officeDocument/2006/relationships/image" Id="rId9" Target="media/rId9.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128" Target="media/rId128.png" /><Relationship Type="http://schemas.openxmlformats.org/officeDocument/2006/relationships/image" Id="rId76" Target="media/rId76.png" /><Relationship Type="http://schemas.openxmlformats.org/officeDocument/2006/relationships/image" Id="rId67" Target="media/rId67.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16" Target="media/rId16.png" /><Relationship Type="http://schemas.openxmlformats.org/officeDocument/2006/relationships/image" Id="rId117" Target="media/rId117.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141" Target="media/rId141.png" /><Relationship Type="http://schemas.openxmlformats.org/officeDocument/2006/relationships/image" Id="rId125" Target="media/rId125.png" /><Relationship Type="http://schemas.openxmlformats.org/officeDocument/2006/relationships/image" Id="rId96" Target="media/rId96.svg" /><Relationship Type="http://schemas.openxmlformats.org/officeDocument/2006/relationships/image" Id="rId101" Target="media/rId101.svg" /><Relationship Type="http://schemas.openxmlformats.org/officeDocument/2006/relationships/image" Id="rId109" Target="media/rId109.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hyperlink" Id="rId92" Target="Book_02_FedAAN_Network_Access_Control_802_1X.qmd" TargetMode="External" /><Relationship Type="http://schemas.openxmlformats.org/officeDocument/2006/relationships/hyperlink" Id="rId83" Target="Book_03_FedAAN_Certificates_Tokens_Cryptographic_Identity.qmd" TargetMode="External" /><Relationship Type="http://schemas.openxmlformats.org/officeDocument/2006/relationships/hyperlink" Id="rId112" Target="Book_05_FedAAN_Network_Modernization.qmd" TargetMode="External" /><Relationship Type="http://schemas.openxmlformats.org/officeDocument/2006/relationships/hyperlink" Id="rId159" Target="https://aws.amazon.com/blogs/publicsector/preventive-controls-for-fedramp-20x-using-scps-and-guardrails-to-enforce-ksis/" TargetMode="External" /><Relationship Type="http://schemas.openxmlformats.org/officeDocument/2006/relationships/hyperlink" Id="rId153" Target="https://blogs.vmware.com/cloud-foundation/2026/05/15/vcf-networking-9-1-seamless-ddi-integration-with-infoblox/" TargetMode="External" /><Relationship Type="http://schemas.openxmlformats.org/officeDocument/2006/relationships/hyperlink" Id="rId156" Target="https://docs.aws.amazon.com/vpc/latest/ipam/what-it-is-ipam.html" TargetMode="External" /><Relationship Type="http://schemas.openxmlformats.org/officeDocument/2006/relationships/hyperlink" Id="rId160" Target="https://docs.infoblox.com/space/nios90/280266962" TargetMode="External" /><Relationship Type="http://schemas.openxmlformats.org/officeDocument/2006/relationships/hyperlink" Id="rId155" Target="https://docs.microsoft.com/en-us/microsoft-365/enterprise/microsoft-365-ip-web-service" TargetMode="External" /><Relationship Type="http://schemas.openxmlformats.org/officeDocument/2006/relationships/hyperlink" Id="rId161" Target="https://github.com/awslabs/landing-zone-accelerator-on-aws" TargetMode="External" /><Relationship Type="http://schemas.openxmlformats.org/officeDocument/2006/relationships/hyperlink" Id="rId163" Target="https://learn.microsoft.com/en-us/azure/azure-vmware/configure-dhcp-azure-vmware-solution" TargetMode="External" /><Relationship Type="http://schemas.openxmlformats.org/officeDocument/2006/relationships/hyperlink" Id="rId157" Target="https://learn.microsoft.com/en-us/azure/virtual-network-manager/concept-ip-address-management" TargetMode="External" /><Relationship Type="http://schemas.openxmlformats.org/officeDocument/2006/relationships/hyperlink" Id="rId154" Target="https://techdocs.broadcom.com/us/en/vmware-cis/vcf/vcf-9-0-and-later/9-1/advanced-network-management/ip-address-management-ipam/integrate-nsx-with-infoblox.html" TargetMode="External" /><Relationship Type="http://schemas.openxmlformats.org/officeDocument/2006/relationships/hyperlink" Id="rId158" Target="https://www.cisa.gov/sites/default/files/2023-04/zero_trust_maturity_model_v2_508.pdf" TargetMode="External" /><Relationship Type="http://schemas.openxmlformats.org/officeDocument/2006/relationships/hyperlink" Id="rId152" Target="https://www.fedramp.gov/marketplace/products/FR2017257053/" TargetMode="External" /><Relationship Type="http://schemas.openxmlformats.org/officeDocument/2006/relationships/hyperlink" Id="rId162"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92" Target="Book_02_FedAAN_Network_Access_Control_802_1X.qmd" TargetMode="External" /><Relationship Type="http://schemas.openxmlformats.org/officeDocument/2006/relationships/hyperlink" Id="rId83" Target="Book_03_FedAAN_Certificates_Tokens_Cryptographic_Identity.qmd" TargetMode="External" /><Relationship Type="http://schemas.openxmlformats.org/officeDocument/2006/relationships/hyperlink" Id="rId112" Target="Book_05_FedAAN_Network_Modernization.qmd" TargetMode="External" /><Relationship Type="http://schemas.openxmlformats.org/officeDocument/2006/relationships/hyperlink" Id="rId159" Target="https://aws.amazon.com/blogs/publicsector/preventive-controls-for-fedramp-20x-using-scps-and-guardrails-to-enforce-ksis/" TargetMode="External" /><Relationship Type="http://schemas.openxmlformats.org/officeDocument/2006/relationships/hyperlink" Id="rId153" Target="https://blogs.vmware.com/cloud-foundation/2026/05/15/vcf-networking-9-1-seamless-ddi-integration-with-infoblox/" TargetMode="External" /><Relationship Type="http://schemas.openxmlformats.org/officeDocument/2006/relationships/hyperlink" Id="rId156" Target="https://docs.aws.amazon.com/vpc/latest/ipam/what-it-is-ipam.html" TargetMode="External" /><Relationship Type="http://schemas.openxmlformats.org/officeDocument/2006/relationships/hyperlink" Id="rId160" Target="https://docs.infoblox.com/space/nios90/280266962" TargetMode="External" /><Relationship Type="http://schemas.openxmlformats.org/officeDocument/2006/relationships/hyperlink" Id="rId155" Target="https://docs.microsoft.com/en-us/microsoft-365/enterprise/microsoft-365-ip-web-service" TargetMode="External" /><Relationship Type="http://schemas.openxmlformats.org/officeDocument/2006/relationships/hyperlink" Id="rId161" Target="https://github.com/awslabs/landing-zone-accelerator-on-aws" TargetMode="External" /><Relationship Type="http://schemas.openxmlformats.org/officeDocument/2006/relationships/hyperlink" Id="rId163" Target="https://learn.microsoft.com/en-us/azure/azure-vmware/configure-dhcp-azure-vmware-solution" TargetMode="External" /><Relationship Type="http://schemas.openxmlformats.org/officeDocument/2006/relationships/hyperlink" Id="rId157" Target="https://learn.microsoft.com/en-us/azure/virtual-network-manager/concept-ip-address-management" TargetMode="External" /><Relationship Type="http://schemas.openxmlformats.org/officeDocument/2006/relationships/hyperlink" Id="rId154" Target="https://techdocs.broadcom.com/us/en/vmware-cis/vcf/vcf-9-0-and-later/9-1/advanced-network-management/ip-address-management-ipam/integrate-nsx-with-infoblox.html" TargetMode="External" /><Relationship Type="http://schemas.openxmlformats.org/officeDocument/2006/relationships/hyperlink" Id="rId158" Target="https://www.cisa.gov/sites/default/files/2023-04/zero_trust_maturity_model_v2_508.pdf" TargetMode="External" /><Relationship Type="http://schemas.openxmlformats.org/officeDocument/2006/relationships/hyperlink" Id="rId152" Target="https://www.fedramp.gov/marketplace/products/FR2017257053/" TargetMode="External" /><Relationship Type="http://schemas.openxmlformats.org/officeDocument/2006/relationships/hyperlink" Id="rId162"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2026-07-06T13:14:29Z</dcterms:created>
  <dcterms:modified xsi:type="dcterms:W3CDTF">2026-07-06T13:14:29Z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IPAM · SDN · DNS · PKI · Zero Trust — InfoBlox DDI Alignment to NIST, CISA, and FedRAMP</vt:lpwstr>
  </property>
  <property fmtid="{D5CDD505-2E9C-101B-9397-08002B2CF9AE}" pid="14" name="toc-title">
    <vt:lpwstr>Table of contents</vt:lpwstr>
  </property>
</Properties>
</file>