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5, 2026 — Internal UIAO Working Document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0" w:name="hard-deadlines"/>
    <w:p>
      <w:pPr>
        <w:pStyle w:val="Heading2"/>
      </w:pPr>
      <w:r>
        <w:t xml:space="preserve">Hard Deadlines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FedRAMP 20x mandatory</w:t>
            </w:r>
          </w:p>
        </w:tc>
        <w:tc>
          <w:tcPr/>
          <w:p>
            <w:pPr>
              <w:pStyle w:val="Compact"/>
            </w:pPr>
            <w:r>
              <w:t xml:space="preserve">All new authorizations must use 20x; legacy Rev 5 path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 after this 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1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1"/>
    <w:bookmarkStart w:id="12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2"/>
    <w:bookmarkStart w:id="13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15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15"/>
    <w:bookmarkStart w:id="16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sequenced-implementation-plan"/>
    <w:p>
      <w:pPr>
        <w:pStyle w:val="Heading2"/>
      </w:pPr>
      <w:r>
        <w:t xml:space="preserve">Sequenced Implementation Plan</w:t>
      </w:r>
    </w:p>
    <w:bookmarkStart w:id="18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1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2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3"/>
        </w:numPr>
      </w:pPr>
      <w:r>
        <w:t xml:space="preserve">Conformance Adapter surface slots 1–4 bound to AAN evidence</w:t>
      </w:r>
    </w:p>
    <w:bookmarkEnd w:id="18"/>
    <w:bookmarkStart w:id="19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4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5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6"/>
        </w:numPr>
      </w:pPr>
      <w:r>
        <w:t xml:space="preserve">KSI-011–014 mapping confidence upgraded low → high (VER contract via Part 15 + slot-06)</w:t>
      </w:r>
    </w:p>
    <w:bookmarkEnd w:id="19"/>
    <w:bookmarkStart w:id="20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7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08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09"/>
        </w:numPr>
      </w:pPr>
      <w:r>
        <w:t xml:space="preserve">CR26 rules for SR/PM families (KSI-015 KSI-SCR-MIT + KSI-016 KSI-SCR-MON → active)</w:t>
      </w:r>
    </w:p>
    <w:bookmarkEnd w:id="20"/>
    <w:bookmarkStart w:id="21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0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1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2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1"/>
    <w:bookmarkStart w:id="22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3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4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5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7"/>
        </w:numPr>
      </w:pPr>
      <w:r>
        <w:t xml:space="preserve">All 10 KSI themes now have local-rule coverage (zero-gap themes: none)</w:t>
      </w:r>
    </w:p>
    <w:bookmarkEnd w:id="22"/>
    <w:bookmarkStart w:id="23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18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19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0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1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3"/>
        </w:numPr>
      </w:pPr>
      <w:r>
        <w:t xml:space="preserve">Book_00 Executive Summary updated to fifteen-book series</w:t>
      </w:r>
    </w:p>
    <w:bookmarkEnd w:id="23"/>
    <w:bookmarkStart w:id="24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4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5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6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28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29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0"/>
        </w:numPr>
      </w:pPr>
      <w:r>
        <w:t xml:space="preserve">Book_00 Executive Summary updated to sixteen-book series; Phase 6 roadmap added</w:t>
      </w:r>
    </w:p>
    <w:bookmarkEnd w:id="24"/>
    <w:bookmarkStart w:id="25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1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2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3"/>
        </w:numPr>
      </w:pPr>
      <w:r>
        <w:t xml:space="preserve">FedRAMP 20x ATO issued (all 29 KSI rules satisfied in AR)</w:t>
      </w:r>
    </w:p>
    <w:bookmarkEnd w:id="25"/>
    <w:bookmarkStart w:id="26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4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5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6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7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38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2026-07-06T13:15:12Z</dcterms:created>
  <dcterms:modified xsi:type="dcterms:W3CDTF">2026-07-06T13:15:12Z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