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Program Vision</w:t>
      </w:r>
    </w:p>
    <w:p>
      <w:pPr>
        <w:spacing w:before="120" w:after="120" w:line="276" w:lineRule="auto"/>
      </w:pPr>
      <w:r>
        <w:rPr>
          <w:rFonts w:ascii="Calibri" w:hAnsi="Calibri"/>
          <w:b/>
          <w:i w:val="0"/>
          <w:sz w:val="22"/>
        </w:rPr>
        <w:t>Version 1.0</w:t>
      </w:r>
    </w:p>
    <w:p>
      <w:pPr>
        <w:pStyle w:val="Heading1"/>
      </w:pPr>
      <w:r>
        <w:rPr>
          <w:color w:val="1B3A5C"/>
        </w:rPr>
        <w:t>The Five Control Planes (Vision View)</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Why This Vision Matters</w:t>
      </w:r>
    </w:p>
    <w:p>
      <w:pPr>
        <w:spacing w:before="120" w:after="120" w:line="276" w:lineRule="auto"/>
      </w:pPr>
      <w:r>
        <w:rPr>
          <w:rFonts w:ascii="Calibri" w:hAnsi="Calibri"/>
          <w:sz w:val="22"/>
        </w:rPr>
        <w:t>The current environment has three problems that are getting worse, not better.</w:t>
      </w:r>
    </w:p>
    <w:p>
      <w:pPr>
        <w:spacing w:before="120" w:after="120" w:line="276" w:lineRule="auto"/>
      </w:pPr>
      <w:r>
        <w:rPr>
          <w:rFonts w:ascii="Calibri" w:hAnsi="Calibri"/>
          <w:sz w:val="22"/>
        </w:rPr>
        <w:t>First, identity. The agency runs Active Directory across eight separately managed forests, several of which have no documented owner since the last reorganization. Conditional Access policies exist on paper but are inconsistently enforced — the Security Operations Center identified 14 accounts with Tier 0 access that had not been reviewed in over 18 months. Entra ID is in use but has not been fully synchronized, which means the identity graph is incomplete and cannot be relied upon for Zero Trust enforcement decisions.</w:t>
      </w:r>
    </w:p>
    <w:p>
      <w:pPr>
        <w:spacing w:before="120" w:after="120" w:line="276" w:lineRule="auto"/>
      </w:pPr>
      <w:r>
        <w:rPr>
          <w:rFonts w:ascii="Calibri" w:hAnsi="Calibri"/>
          <w:sz w:val="22"/>
        </w:rPr>
        <w:t>Second, addressing. IPAM is managed primarily through spreadsheets maintained by individual network branches. There is no authoritative source for IP-to-identity correlation. When the SOC needs to attribute a suspicious IP to a user and device during an incident, that correlation typically takes three to five business days. That is not a tooling problem — it is a structural one.</w:t>
      </w:r>
    </w:p>
    <w:p>
      <w:pPr>
        <w:spacing w:before="120" w:after="120" w:line="276" w:lineRule="auto"/>
      </w:pPr>
      <w:r>
        <w:rPr>
          <w:rFonts w:ascii="Calibri" w:hAnsi="Calibri"/>
          <w:sz w:val="22"/>
        </w:rPr>
        <w:t>Third, compliance posture. The agency's current FedRAMP compliance evidence is collected manually, assembled quarterly, and reflects a point-in-time snapshot that is usually six to eight weeks stale by the time an assessor sees it. Three of the agency's current open POA&amp;M items trace directly to gaps in identity governance and telemetry coverage that UIAO is designed to close.</w:t>
      </w:r>
    </w:p>
    <w:p>
      <w:pPr>
        <w:spacing w:before="120" w:after="120" w:line="276" w:lineRule="auto"/>
      </w:pPr>
      <w:r>
        <w:rPr>
          <w:rFonts w:ascii="Calibri" w:hAnsi="Calibri"/>
          <w:sz w:val="22"/>
        </w:rPr>
        <w:t>TIC 3.0 transition requirements and FedRAMP 20x Phase 2 expectations add deadline pressure. Neither can be met by continuing to optimize the current architecture.</w:t>
      </w:r>
    </w:p>
    <w:p>
      <w:pPr>
        <w:spacing w:after="80"/>
      </w:pPr>
    </w:p>
    <w:p>
      <w:pPr>
        <w:spacing w:before="120" w:after="120" w:line="276" w:lineRule="auto"/>
      </w:pPr>
      <w:r>
        <w:rPr>
          <w:rFonts w:ascii="Calibri" w:hAnsi="Calibri"/>
          <w:b w:val="0"/>
          <w:i/>
          <w:sz w:val="22"/>
        </w:rPr>
        <w:t>End of Program Vision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