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B3A5C"/>
        </w:rPr>
        <w:t>Telemetry &amp; Location Control Plane Deep Dive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Version 1.0</w:t>
      </w:r>
    </w:p>
    <w:p>
      <w:pPr>
        <w:pStyle w:val="Heading1"/>
      </w:pPr>
      <w:r>
        <w:rPr>
          <w:color w:val="1B3A5C"/>
        </w:rPr>
        <w:t>Telemetry as Control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Certificates and mutual TLS anchor tunnels, services, and trust relationships across the enterprise.</w:t>
      </w:r>
    </w:p>
    <w:p>
      <w:pPr>
        <w:pStyle w:val="Heading1"/>
      </w:pPr>
      <w:r>
        <w:rPr>
          <w:color w:val="1B3A5C"/>
        </w:rPr>
        <w:t>Telemetry‑Driven Outcomes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The program has four near-term results that are measurable before the end of Phase 1.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M365 performance improves as soon as TIC 3.0 routing is in place. The pilot site recorded a 47% reduction in Teams call setup latency within the first week. That is not a projection — it is a measured result from the SD-WAN cutover already completed in the eastern region.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Three open POA&amp;M items close. They trace to IPAM fragmentation and incomplete identity governance — both of which UIAO directly addresses. Closing them reduces the agency's overall risk posture and removes a recurring finding that has appeared in the last two assessment cycles.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The compliance evidence problem gets solved structurally. Instead of assembling a quarterly package that is already stale, assessors get continuous OSCAL output from the live architecture. The six-to-eight week lag goes away.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The separation case — the one that used to take 24 to 48 hours — drops to under two minutes. That matters for both security and audit. Every contractor departure, every role change, every access review becomes a documented, automated event rather than a manual ticket that someone may or may not have closed.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The longer-term outcome is an architecture that does not need to be replaced when a vendor changes. The control plane model is the investment. The specific vendors inside it are not.</w:t>
      </w:r>
    </w:p>
    <w:p>
      <w:pPr>
        <w:spacing w:after="80"/>
      </w:pPr>
    </w:p>
    <w:p>
      <w:pPr>
        <w:spacing w:before="120" w:after="120" w:line="276" w:lineRule="auto"/>
      </w:pPr>
      <w:r>
        <w:rPr>
          <w:rFonts w:ascii="Calibri" w:hAnsi="Calibri"/>
          <w:b w:val="0"/>
          <w:i/>
          <w:sz w:val="22"/>
        </w:rPr>
        <w:t>End of Telemetry Plane Deep Dive v1.0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14"/>
      </w:rPr>
      <w:t>CUI | UIAO Program | Generated 2026-04-09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b/>
        <w:color w:val="800000"/>
        <w:sz w:val="16"/>
      </w:rPr>
      <w:t>CUI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24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B3A5C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60"/>
      <w:outlineLvl w:val="1"/>
    </w:pPr>
    <w:rPr>
      <w:rFonts w:asciiTheme="majorHAnsi" w:eastAsiaTheme="majorEastAsia" w:hAnsiTheme="majorHAnsi" w:cstheme="majorBidi" w:ascii="Calibri" w:hAnsi="Calibri"/>
      <w:b/>
      <w:bCs/>
      <w:color w:val="1B3A5C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