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UIAO Vendor Technology Stack and Compliance Registry</w:t>
      </w:r>
    </w:p>
    <w:p>
      <w:pPr>
        <w:spacing w:before="120" w:after="120" w:line="276" w:lineRule="auto"/>
      </w:pPr>
      <w:r>
        <w:rPr>
          <w:rFonts w:ascii="Calibri" w:hAnsi="Calibri"/>
          <w:b/>
          <w:i w:val="0"/>
          <w:sz w:val="22"/>
        </w:rPr>
        <w:t>Classification:</w:t>
      </w:r>
      <w:r>
        <w:rPr>
          <w:rFonts w:ascii="Calibri" w:hAnsi="Calibri"/>
          <w:sz w:val="22"/>
        </w:rPr>
        <w:t xml:space="preserve"> CUI/FOUO </w:t>
      </w:r>
      <w:r>
        <w:rPr>
          <w:rFonts w:ascii="Calibri" w:hAnsi="Calibri"/>
          <w:b/>
          <w:i w:val="0"/>
          <w:sz w:val="22"/>
        </w:rPr>
        <w:t>Version:</w:t>
      </w:r>
      <w:r>
        <w:rPr>
          <w:rFonts w:ascii="Calibri" w:hAnsi="Calibri"/>
          <w:sz w:val="22"/>
        </w:rPr>
        <w:t xml:space="preserve"> 1.0 </w:t>
      </w:r>
      <w:r>
        <w:rPr>
          <w:rFonts w:ascii="Calibri" w:hAnsi="Calibri"/>
          <w:b/>
          <w:i w:val="0"/>
          <w:sz w:val="22"/>
        </w:rPr>
        <w:t>Generated:</w:t>
      </w:r>
      <w:r>
        <w:rPr>
          <w:rFonts w:ascii="Calibri" w:hAnsi="Calibri"/>
          <w:sz w:val="22"/>
        </w:rPr>
        <w:t xml:space="preserve"> Auto-compiled from `data/vendor-stack.yml`</w:t>
      </w:r>
    </w:p>
    <w:p>
      <w:pPr>
        <w:pStyle w:val="Heading2"/>
      </w:pPr>
      <w:r>
        <w:rPr>
          <w:color w:val="1B3A5C"/>
        </w:rPr>
        <w:t>2. How This Document Works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vendor stack document is produced through the UIAO Document Compiler pipeline, which operates as follows: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1. </w:t>
      </w:r>
      <w:r>
        <w:rPr>
          <w:rFonts w:ascii="Calibri" w:hAnsi="Calibri"/>
          <w:b/>
          <w:i w:val="0"/>
          <w:sz w:val="22"/>
        </w:rPr>
        <w:t>Data Layer:</w:t>
      </w:r>
      <w:r>
        <w:rPr>
          <w:rFonts w:ascii="Calibri" w:hAnsi="Calibri"/>
          <w:sz w:val="22"/>
        </w:rPr>
        <w:t xml:space="preserve"> The structured vendor data resides in `data/vendor-stack.yml`. Each vendor entry includes its product name, UIAO pillar mapping, FedRAMP certification class, required software versions, applicable NIST controls, KSI category mapping, and any active CISA directive compliance notes.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Template Layer:</w:t>
      </w:r>
      <w:r>
        <w:rPr>
          <w:rFonts w:ascii="Calibri" w:hAnsi="Calibri"/>
          <w:sz w:val="22"/>
        </w:rPr>
        <w:t xml:space="preserve"> This Jinja2 template (`templates/vendor_stack_v1.0.md.j2`) defines the narrative structure and formatting. It uses Jinja2 loops and conditionals to iterate over the vendor entries and render them into readable Markdown.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Generation Engine:</w:t>
      </w:r>
      <w:r>
        <w:rPr>
          <w:rFonts w:ascii="Calibri" w:hAnsi="Calibri"/>
          <w:sz w:val="22"/>
        </w:rPr>
        <w:t xml:space="preserve"> The `scripts/generate_docs.py` Python script loads the canon YAML and all `data/*.yml` files, merges them into a unified context dictionary, and passes that context to each Jinja2 template. The template engine replaces variable placeholders with actual data values.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4. </w:t>
      </w:r>
      <w:r>
        <w:rPr>
          <w:rFonts w:ascii="Calibri" w:hAnsi="Calibri"/>
          <w:b/>
          <w:i w:val="0"/>
          <w:sz w:val="22"/>
        </w:rPr>
        <w:t>CI/CD Pipeline:</w:t>
      </w:r>
      <w:r>
        <w:rPr>
          <w:rFonts w:ascii="Calibri" w:hAnsi="Calibri"/>
          <w:sz w:val="22"/>
        </w:rPr>
        <w:t xml:space="preserve"> On every push to the `main` branch, a GitHub Actions workflow (`.github/workflows/docs.yml`) triggers the generation script. The output is written to both `docs/` and `site/` directories, then committed back to the repository automatically.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5. </w:t>
      </w:r>
      <w:r>
        <w:rPr>
          <w:rFonts w:ascii="Calibri" w:hAnsi="Calibri"/>
          <w:b/>
          <w:i w:val="0"/>
          <w:sz w:val="22"/>
        </w:rPr>
        <w:t>Website Delivery:</w:t>
      </w:r>
      <w:r>
        <w:rPr>
          <w:rFonts w:ascii="Calibri" w:hAnsi="Calibri"/>
          <w:sz w:val="22"/>
        </w:rPr>
        <w:t xml:space="preserve"> The GitHub Pages site at `https://whalermike.github.io/uiao-core/` reads the generated Markdown from the `site/` directory and renders it through the USWDS-styled Document Compiler interface, where it can be viewed inline or downloaded in Markdown, Word, PDF, or HTML formats.</w:t>
      </w:r>
    </w:p>
    <w:p>
      <w:pPr>
        <w:pStyle w:val="Heading2"/>
      </w:pPr>
      <w:r>
        <w:rPr>
          <w:color w:val="1B3A5C"/>
        </w:rPr>
        <w:t>4. External Security Baselines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UIAO architecture integrates with CISA's Secure Cloud Business Applications (SCuBA) project to provide automated compliance validation and continuous reporting as required by BOD 25-01.</w:t>
      </w:r>
    </w:p>
    <w:p>
      <w:pPr>
        <w:pStyle w:val="Heading2"/>
      </w:pPr>
      <w:r>
        <w:rPr>
          <w:color w:val="1B3A5C"/>
        </w:rPr>
        <w:t>6. Maintaining This Document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This document is automatically regenerated whenever changes are pushed to the `main` branch. To update vendor information: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1. Edit `data/vendor-stack.yml` with the new vendor version, directive status, or certification update. 2. Commit and push to `main`. 3. The GitHub Actions workflow will regenerate all documents, including this one. 4. The updated document will appear on the UIAO-Core website within minutes.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This approach ensures that the vendor compliance registry is never stale, always version-controlled, and permanently auditable through Git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